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343" w:type="dxa"/>
        <w:jc w:val="center"/>
        <w:tblBorders>
          <w:left w:val="none" w:sz="0" w:space="0" w:color="auto"/>
          <w:bottom w:val="thinThickThinSmallGap" w:sz="2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824"/>
        <w:gridCol w:w="1243"/>
      </w:tblGrid>
      <w:tr w:rsidR="003979C0" w:rsidRPr="002B33CE" w14:paraId="0BE170AE" w14:textId="77777777" w:rsidTr="008D3325">
        <w:trPr>
          <w:jc w:val="center"/>
        </w:trPr>
        <w:tc>
          <w:tcPr>
            <w:tcW w:w="1276" w:type="dxa"/>
            <w:vAlign w:val="center"/>
          </w:tcPr>
          <w:p w14:paraId="10A7AEB0" w14:textId="77777777" w:rsidR="003979C0" w:rsidRPr="002B33CE" w:rsidRDefault="003979C0" w:rsidP="00116D1E">
            <w:pPr>
              <w:rPr>
                <w:rFonts w:ascii="Georgia" w:hAnsi="Georgia"/>
                <w:color w:val="000000" w:themeColor="text1"/>
                <w:sz w:val="6"/>
                <w:lang w:val="id-ID"/>
              </w:rPr>
            </w:pPr>
          </w:p>
          <w:p w14:paraId="0BE5551B" w14:textId="5DB3E1EF" w:rsidR="003979C0" w:rsidRPr="002B33CE" w:rsidRDefault="003C335A" w:rsidP="00116D1E">
            <w:pPr>
              <w:rPr>
                <w:rFonts w:ascii="Georgia" w:hAnsi="Georgia"/>
                <w:color w:val="000000" w:themeColor="text1"/>
                <w:sz w:val="6"/>
                <w:lang w:val="id-ID"/>
              </w:rPr>
            </w:pPr>
            <w:r w:rsidRPr="002B33CE">
              <w:rPr>
                <w:rFonts w:ascii="Georgia" w:hAnsi="Georgia"/>
                <w:noProof/>
                <w:color w:val="000000" w:themeColor="text1"/>
              </w:rPr>
              <w:drawing>
                <wp:inline distT="0" distB="0" distL="0" distR="0" wp14:anchorId="3ADFBFE4" wp14:editId="61D8AFA3">
                  <wp:extent cx="723331" cy="668739"/>
                  <wp:effectExtent l="0" t="0" r="635" b="0"/>
                  <wp:docPr id="1" name="Picture 1" descr="Description: D:\Users\Downloads\WhatsApp Image 2021-02-08 at 21.49.4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Users\Downloads\WhatsApp Image 2021-02-08 at 21.49.44.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313" cy="668722"/>
                          </a:xfrm>
                          <a:prstGeom prst="rect">
                            <a:avLst/>
                          </a:prstGeom>
                          <a:noFill/>
                          <a:ln>
                            <a:noFill/>
                          </a:ln>
                        </pic:spPr>
                      </pic:pic>
                    </a:graphicData>
                  </a:graphic>
                </wp:inline>
              </w:drawing>
            </w:r>
          </w:p>
          <w:p w14:paraId="77FEA500" w14:textId="77777777" w:rsidR="003979C0" w:rsidRPr="002B33CE" w:rsidRDefault="003979C0" w:rsidP="00116D1E">
            <w:pPr>
              <w:rPr>
                <w:rFonts w:ascii="Georgia" w:hAnsi="Georgia"/>
                <w:color w:val="000000" w:themeColor="text1"/>
                <w:sz w:val="6"/>
                <w:lang w:val="id-ID"/>
              </w:rPr>
            </w:pPr>
          </w:p>
        </w:tc>
        <w:tc>
          <w:tcPr>
            <w:tcW w:w="7824" w:type="dxa"/>
            <w:vAlign w:val="center"/>
          </w:tcPr>
          <w:p w14:paraId="5C1DA159" w14:textId="77777777" w:rsidR="003979C0" w:rsidRPr="002B33CE" w:rsidRDefault="003979C0" w:rsidP="003979C0">
            <w:pPr>
              <w:jc w:val="center"/>
              <w:rPr>
                <w:rFonts w:ascii="Georgia" w:hAnsi="Georgia"/>
                <w:color w:val="000000" w:themeColor="text1"/>
                <w:sz w:val="16"/>
                <w:lang w:val="id-ID"/>
              </w:rPr>
            </w:pPr>
            <w:r w:rsidRPr="002B33CE">
              <w:rPr>
                <w:rFonts w:ascii="Georgia" w:hAnsi="Georgia"/>
                <w:color w:val="000000" w:themeColor="text1"/>
                <w:sz w:val="16"/>
                <w:lang w:val="id-ID"/>
              </w:rPr>
              <w:t xml:space="preserve">Contents list avaliable at </w:t>
            </w:r>
            <w:hyperlink r:id="rId9" w:history="1">
              <w:r w:rsidRPr="002B33CE">
                <w:rPr>
                  <w:rStyle w:val="Hyperlink"/>
                  <w:rFonts w:ascii="Georgia" w:hAnsi="Georgia"/>
                  <w:color w:val="000000" w:themeColor="text1"/>
                  <w:sz w:val="16"/>
                  <w:u w:val="none"/>
                  <w:lang w:val="id-ID"/>
                </w:rPr>
                <w:t>Directory of Open Access Journals (DOAJ)</w:t>
              </w:r>
            </w:hyperlink>
          </w:p>
          <w:p w14:paraId="77C3B7CF" w14:textId="15022337" w:rsidR="003979C0" w:rsidRPr="002B33CE" w:rsidRDefault="003979C0" w:rsidP="003979C0">
            <w:pPr>
              <w:jc w:val="center"/>
              <w:rPr>
                <w:rFonts w:ascii="Georgia" w:hAnsi="Georgia"/>
                <w:b/>
                <w:color w:val="000000" w:themeColor="text1"/>
                <w:sz w:val="28"/>
                <w:szCs w:val="28"/>
                <w:lang w:val="id-ID"/>
              </w:rPr>
            </w:pPr>
            <w:r w:rsidRPr="002B33CE">
              <w:rPr>
                <w:rFonts w:ascii="Georgia" w:hAnsi="Georgia"/>
                <w:b/>
                <w:color w:val="000000" w:themeColor="text1"/>
                <w:sz w:val="28"/>
                <w:szCs w:val="28"/>
                <w:lang w:val="id-ID"/>
              </w:rPr>
              <w:t>Al-</w:t>
            </w:r>
            <w:r w:rsidR="00004FDF" w:rsidRPr="002B33CE">
              <w:rPr>
                <w:rFonts w:ascii="Georgia" w:hAnsi="Georgia"/>
                <w:b/>
                <w:color w:val="000000" w:themeColor="text1"/>
                <w:sz w:val="28"/>
                <w:szCs w:val="28"/>
                <w:lang w:val="id-ID"/>
              </w:rPr>
              <w:t>Ishlah</w:t>
            </w:r>
            <w:r w:rsidRPr="002B33CE">
              <w:rPr>
                <w:rFonts w:ascii="Georgia" w:hAnsi="Georgia"/>
                <w:b/>
                <w:color w:val="000000" w:themeColor="text1"/>
                <w:sz w:val="28"/>
                <w:szCs w:val="28"/>
                <w:lang w:val="id-ID"/>
              </w:rPr>
              <w:t xml:space="preserve">: </w:t>
            </w:r>
            <w:r w:rsidR="00882628" w:rsidRPr="002B33CE">
              <w:rPr>
                <w:rFonts w:ascii="Georgia" w:hAnsi="Georgia"/>
                <w:b/>
                <w:color w:val="000000" w:themeColor="text1"/>
                <w:sz w:val="28"/>
                <w:szCs w:val="28"/>
                <w:lang w:val="id-ID"/>
              </w:rPr>
              <w:t>J</w:t>
            </w:r>
            <w:r w:rsidR="008D3325" w:rsidRPr="002B33CE">
              <w:rPr>
                <w:rFonts w:ascii="Georgia" w:hAnsi="Georgia"/>
                <w:b/>
                <w:color w:val="000000" w:themeColor="text1"/>
                <w:sz w:val="28"/>
                <w:szCs w:val="28"/>
                <w:lang w:val="id-ID"/>
              </w:rPr>
              <w:t>urnal Pendidikan</w:t>
            </w:r>
          </w:p>
          <w:p w14:paraId="2A6F704B" w14:textId="4CA00511" w:rsidR="003979C0" w:rsidRPr="002B33CE" w:rsidRDefault="003979C0" w:rsidP="003979C0">
            <w:pPr>
              <w:pStyle w:val="Footer"/>
              <w:jc w:val="center"/>
              <w:rPr>
                <w:rFonts w:ascii="Georgia" w:hAnsi="Georgia"/>
                <w:color w:val="000000" w:themeColor="text1"/>
                <w:lang w:val="id-ID"/>
              </w:rPr>
            </w:pPr>
            <w:r w:rsidRPr="002B33CE">
              <w:rPr>
                <w:rFonts w:ascii="Georgia" w:hAnsi="Georgia"/>
                <w:color w:val="000000" w:themeColor="text1"/>
                <w:shd w:val="clear" w:color="auto" w:fill="FFFFFF"/>
              </w:rPr>
              <w:t>ISSN: </w:t>
            </w:r>
            <w:hyperlink r:id="rId10" w:history="1">
              <w:r w:rsidR="001C1DBB" w:rsidRPr="002B33CE">
                <w:rPr>
                  <w:rStyle w:val="Hyperlink"/>
                  <w:rFonts w:ascii="Georgia" w:hAnsi="Georgia"/>
                  <w:color w:val="000000" w:themeColor="text1"/>
                  <w:u w:val="none"/>
                  <w:shd w:val="clear" w:color="auto" w:fill="FFFFFF"/>
                  <w:lang w:val="id-ID"/>
                </w:rPr>
                <w:t>2087-9490</w:t>
              </w:r>
              <w:r w:rsidRPr="002B33CE">
                <w:rPr>
                  <w:rStyle w:val="Hyperlink"/>
                  <w:rFonts w:ascii="Georgia" w:hAnsi="Georgia"/>
                  <w:color w:val="000000" w:themeColor="text1"/>
                  <w:shd w:val="clear" w:color="auto" w:fill="FFFFFF"/>
                </w:rPr>
                <w:t> </w:t>
              </w:r>
            </w:hyperlink>
            <w:r w:rsidRPr="002B33CE">
              <w:rPr>
                <w:rFonts w:ascii="Georgia" w:hAnsi="Georgia"/>
                <w:color w:val="000000" w:themeColor="text1"/>
                <w:shd w:val="clear" w:color="auto" w:fill="FFFFFF"/>
              </w:rPr>
              <w:t>(Printed); </w:t>
            </w:r>
            <w:hyperlink r:id="rId11" w:history="1">
              <w:r w:rsidR="001C1DBB" w:rsidRPr="002B33CE">
                <w:rPr>
                  <w:rStyle w:val="Hyperlink"/>
                  <w:rFonts w:ascii="Georgia" w:hAnsi="Georgia"/>
                  <w:color w:val="000000" w:themeColor="text1"/>
                  <w:shd w:val="clear" w:color="auto" w:fill="FFFFFF"/>
                  <w:lang w:val="id-ID"/>
                </w:rPr>
                <w:t>2597-940X</w:t>
              </w:r>
            </w:hyperlink>
            <w:r w:rsidR="001C1DBB" w:rsidRPr="002B33CE">
              <w:rPr>
                <w:rFonts w:ascii="Georgia" w:hAnsi="Georgia"/>
                <w:color w:val="000000" w:themeColor="text1"/>
                <w:shd w:val="clear" w:color="auto" w:fill="FFFFFF"/>
                <w:lang w:val="id-ID"/>
              </w:rPr>
              <w:t xml:space="preserve"> (Online)</w:t>
            </w:r>
          </w:p>
          <w:p w14:paraId="1F30D34E" w14:textId="1C2A3C9E" w:rsidR="003979C0" w:rsidRPr="002B33CE" w:rsidRDefault="003979C0" w:rsidP="003979C0">
            <w:pPr>
              <w:jc w:val="center"/>
              <w:rPr>
                <w:rFonts w:ascii="Georgia" w:hAnsi="Georgia"/>
                <w:color w:val="000000" w:themeColor="text1"/>
                <w:lang w:val="id-ID"/>
              </w:rPr>
            </w:pPr>
            <w:r w:rsidRPr="002B33CE">
              <w:rPr>
                <w:rFonts w:ascii="Georgia" w:hAnsi="Georgia"/>
                <w:color w:val="000000" w:themeColor="text1"/>
                <w:lang w:val="id-ID"/>
              </w:rPr>
              <w:t xml:space="preserve">Journal Homepage: </w:t>
            </w:r>
            <w:hyperlink r:id="rId12" w:history="1">
              <w:r w:rsidR="001C1DBB" w:rsidRPr="002B33CE">
                <w:rPr>
                  <w:rStyle w:val="Hyperlink"/>
                  <w:rFonts w:ascii="Georgia" w:hAnsi="Georgia"/>
                  <w:color w:val="000000" w:themeColor="text1"/>
                  <w:u w:val="none"/>
                  <w:lang w:val="id-ID"/>
                </w:rPr>
                <w:t>http://www.journal.staihubbulwathan.id/index.php/alishlah</w:t>
              </w:r>
            </w:hyperlink>
          </w:p>
        </w:tc>
        <w:tc>
          <w:tcPr>
            <w:tcW w:w="1243" w:type="dxa"/>
            <w:vAlign w:val="center"/>
          </w:tcPr>
          <w:p w14:paraId="2F2725CA" w14:textId="77777777" w:rsidR="003979C0" w:rsidRPr="002B33CE" w:rsidRDefault="003979C0" w:rsidP="00116D1E">
            <w:pPr>
              <w:jc w:val="right"/>
              <w:rPr>
                <w:rFonts w:ascii="Georgia" w:hAnsi="Georgia"/>
                <w:color w:val="000000" w:themeColor="text1"/>
                <w:lang w:val="id-ID"/>
              </w:rPr>
            </w:pPr>
            <w:r w:rsidRPr="002B33CE">
              <w:rPr>
                <w:rFonts w:ascii="Georgia" w:hAnsi="Georgia"/>
                <w:noProof/>
                <w:color w:val="000000" w:themeColor="text1"/>
              </w:rPr>
              <w:drawing>
                <wp:inline distT="0" distB="0" distL="0" distR="0" wp14:anchorId="68BCAF59" wp14:editId="1901BD17">
                  <wp:extent cx="614149" cy="757451"/>
                  <wp:effectExtent l="0" t="0" r="0"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340" cy="760153"/>
                          </a:xfrm>
                          <a:prstGeom prst="rect">
                            <a:avLst/>
                          </a:prstGeom>
                        </pic:spPr>
                      </pic:pic>
                    </a:graphicData>
                  </a:graphic>
                </wp:inline>
              </w:drawing>
            </w:r>
          </w:p>
        </w:tc>
      </w:tr>
    </w:tbl>
    <w:p w14:paraId="0A27B863" w14:textId="3A86620B" w:rsidR="00F052E7" w:rsidRPr="002B33CE" w:rsidRDefault="00F052E7" w:rsidP="00F70FF8">
      <w:pPr>
        <w:spacing w:after="0" w:line="240" w:lineRule="auto"/>
        <w:rPr>
          <w:rFonts w:ascii="Georgia" w:hAnsi="Georgia"/>
          <w:color w:val="000000" w:themeColor="text1"/>
          <w:sz w:val="20"/>
          <w:szCs w:val="20"/>
        </w:rPr>
      </w:pPr>
    </w:p>
    <w:p w14:paraId="506C1F9B" w14:textId="77777777" w:rsidR="003979C0" w:rsidRPr="002B33CE" w:rsidRDefault="003979C0" w:rsidP="00F70FF8">
      <w:pPr>
        <w:spacing w:after="0" w:line="240" w:lineRule="auto"/>
        <w:rPr>
          <w:rFonts w:ascii="Georgia" w:hAnsi="Georgia"/>
          <w:color w:val="000000" w:themeColor="text1"/>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2499"/>
        <w:gridCol w:w="7384"/>
      </w:tblGrid>
      <w:tr w:rsidR="002B33CE" w:rsidRPr="002B33CE" w14:paraId="70E098E1" w14:textId="77777777" w:rsidTr="00045523">
        <w:trPr>
          <w:jc w:val="center"/>
        </w:trPr>
        <w:tc>
          <w:tcPr>
            <w:tcW w:w="9883" w:type="dxa"/>
            <w:gridSpan w:val="2"/>
            <w:tcBorders>
              <w:bottom w:val="nil"/>
            </w:tcBorders>
            <w:vAlign w:val="center"/>
          </w:tcPr>
          <w:p w14:paraId="55DE01E7" w14:textId="77777777" w:rsidR="00034974" w:rsidRPr="002B33CE" w:rsidRDefault="00034974" w:rsidP="00034974">
            <w:pPr>
              <w:rPr>
                <w:rFonts w:ascii="Georgia" w:hAnsi="Georgia" w:cs="Segoe UI"/>
                <w:b/>
                <w:color w:val="000000" w:themeColor="text1"/>
                <w:sz w:val="36"/>
                <w:szCs w:val="36"/>
                <w:lang w:eastAsia="id-ID"/>
              </w:rPr>
            </w:pPr>
            <w:r w:rsidRPr="002B33CE">
              <w:rPr>
                <w:rFonts w:ascii="Georgia" w:hAnsi="Georgia" w:cs="Segoe UI"/>
                <w:b/>
                <w:color w:val="000000" w:themeColor="text1"/>
                <w:sz w:val="36"/>
                <w:szCs w:val="36"/>
                <w:lang w:eastAsia="id-ID"/>
              </w:rPr>
              <w:t>Analysis of Students Creative Thinking Ability in Environmental Problem Solving</w:t>
            </w:r>
          </w:p>
          <w:p w14:paraId="651D7035" w14:textId="77777777" w:rsidR="003D7C70" w:rsidRPr="002B33CE" w:rsidRDefault="003D7C70" w:rsidP="00F70FF8">
            <w:pPr>
              <w:pStyle w:val="ListParagraph"/>
              <w:ind w:left="0"/>
              <w:rPr>
                <w:rStyle w:val="kcmread1114"/>
                <w:rFonts w:ascii="Georgia" w:hAnsi="Georgia"/>
                <w:b/>
                <w:color w:val="000000" w:themeColor="text1"/>
                <w:lang w:val="id-ID"/>
              </w:rPr>
            </w:pPr>
          </w:p>
          <w:p w14:paraId="3DFAF5EC" w14:textId="62764C90" w:rsidR="00034974" w:rsidRPr="002B33CE" w:rsidRDefault="00034974" w:rsidP="00034974">
            <w:pPr>
              <w:rPr>
                <w:rFonts w:ascii="Georgia" w:hAnsi="Georgia" w:cs="Segoe UI"/>
                <w:b/>
                <w:color w:val="000000" w:themeColor="text1"/>
                <w:sz w:val="24"/>
                <w:szCs w:val="24"/>
                <w:vertAlign w:val="superscript"/>
                <w:lang w:eastAsia="id-ID"/>
              </w:rPr>
            </w:pPr>
            <w:r w:rsidRPr="002B33CE">
              <w:rPr>
                <w:rFonts w:ascii="Georgia" w:hAnsi="Georgia" w:cs="Segoe UI"/>
                <w:b/>
                <w:color w:val="000000" w:themeColor="text1"/>
                <w:sz w:val="24"/>
                <w:szCs w:val="24"/>
                <w:lang w:eastAsia="id-ID"/>
              </w:rPr>
              <w:t xml:space="preserve">Meitiyani </w:t>
            </w:r>
            <w:proofErr w:type="gramStart"/>
            <w:r w:rsidRPr="002B33CE">
              <w:rPr>
                <w:rFonts w:ascii="Georgia" w:hAnsi="Georgia" w:cs="Segoe UI"/>
                <w:b/>
                <w:color w:val="000000" w:themeColor="text1"/>
                <w:sz w:val="24"/>
                <w:szCs w:val="24"/>
                <w:vertAlign w:val="superscript"/>
                <w:lang w:eastAsia="id-ID"/>
              </w:rPr>
              <w:t>1</w:t>
            </w:r>
            <w:r w:rsidRPr="002B33CE">
              <w:rPr>
                <w:rFonts w:ascii="Georgia" w:hAnsi="Georgia" w:cs="Segoe UI"/>
                <w:b/>
                <w:color w:val="000000" w:themeColor="text1"/>
                <w:sz w:val="24"/>
                <w:szCs w:val="24"/>
                <w:lang w:eastAsia="id-ID"/>
              </w:rPr>
              <w:t>,  Mega</w:t>
            </w:r>
            <w:proofErr w:type="gramEnd"/>
            <w:r w:rsidRPr="002B33CE">
              <w:rPr>
                <w:rFonts w:ascii="Georgia" w:hAnsi="Georgia" w:cs="Segoe UI"/>
                <w:b/>
                <w:color w:val="000000" w:themeColor="text1"/>
                <w:sz w:val="24"/>
                <w:szCs w:val="24"/>
                <w:lang w:eastAsia="id-ID"/>
              </w:rPr>
              <w:t xml:space="preserve"> Elvianasti </w:t>
            </w:r>
            <w:r w:rsidRPr="002B33CE">
              <w:rPr>
                <w:rFonts w:ascii="Georgia" w:hAnsi="Georgia" w:cs="Segoe UI"/>
                <w:b/>
                <w:color w:val="000000" w:themeColor="text1"/>
                <w:sz w:val="24"/>
                <w:szCs w:val="24"/>
                <w:vertAlign w:val="superscript"/>
                <w:lang w:eastAsia="id-ID"/>
              </w:rPr>
              <w:t>2</w:t>
            </w:r>
            <w:r w:rsidRPr="002B33CE">
              <w:rPr>
                <w:rFonts w:ascii="Georgia" w:hAnsi="Georgia" w:cs="Segoe UI"/>
                <w:b/>
                <w:color w:val="000000" w:themeColor="text1"/>
                <w:sz w:val="24"/>
                <w:szCs w:val="24"/>
                <w:lang w:eastAsia="id-ID"/>
              </w:rPr>
              <w:t xml:space="preserve">, Maesaroh </w:t>
            </w:r>
            <w:r w:rsidRPr="002B33CE">
              <w:rPr>
                <w:rFonts w:ascii="Georgia" w:hAnsi="Georgia" w:cs="Segoe UI"/>
                <w:b/>
                <w:color w:val="000000" w:themeColor="text1"/>
                <w:sz w:val="24"/>
                <w:szCs w:val="24"/>
                <w:vertAlign w:val="superscript"/>
                <w:lang w:eastAsia="id-ID"/>
              </w:rPr>
              <w:t>3</w:t>
            </w:r>
            <w:r w:rsidRPr="002B33CE">
              <w:rPr>
                <w:rFonts w:ascii="Georgia" w:hAnsi="Georgia" w:cs="Segoe UI"/>
                <w:b/>
                <w:color w:val="000000" w:themeColor="text1"/>
                <w:sz w:val="24"/>
                <w:szCs w:val="24"/>
                <w:lang w:eastAsia="id-ID"/>
              </w:rPr>
              <w:t>, Irdalisa</w:t>
            </w:r>
            <w:r w:rsidR="000923FA" w:rsidRPr="002B33CE">
              <w:rPr>
                <w:rFonts w:ascii="Georgia" w:hAnsi="Georgia" w:cs="Segoe UI"/>
                <w:b/>
                <w:color w:val="000000" w:themeColor="text1"/>
                <w:sz w:val="24"/>
                <w:szCs w:val="24"/>
                <w:lang w:eastAsia="id-ID"/>
              </w:rPr>
              <w:t xml:space="preserve"> </w:t>
            </w:r>
            <w:r w:rsidRPr="002B33CE">
              <w:rPr>
                <w:rFonts w:ascii="Georgia" w:hAnsi="Georgia" w:cs="Segoe UI"/>
                <w:b/>
                <w:color w:val="000000" w:themeColor="text1"/>
                <w:sz w:val="24"/>
                <w:szCs w:val="24"/>
                <w:vertAlign w:val="superscript"/>
                <w:lang w:eastAsia="id-ID"/>
              </w:rPr>
              <w:t>4</w:t>
            </w:r>
          </w:p>
          <w:p w14:paraId="34557390" w14:textId="6F9E2EC3" w:rsidR="000D63D4" w:rsidRPr="002B33CE" w:rsidRDefault="000D63D4" w:rsidP="004B4465">
            <w:pPr>
              <w:shd w:val="clear" w:color="auto" w:fill="FFFFFF"/>
              <w:jc w:val="both"/>
              <w:rPr>
                <w:rFonts w:ascii="Georgia" w:hAnsi="Georgia"/>
                <w:b/>
                <w:bCs/>
                <w:color w:val="000000" w:themeColor="text1"/>
                <w:sz w:val="24"/>
                <w:lang w:val="id-ID"/>
              </w:rPr>
            </w:pPr>
            <w:r w:rsidRPr="002B33CE">
              <w:rPr>
                <w:rFonts w:ascii="Georgia" w:hAnsi="Georgia"/>
                <w:color w:val="000000" w:themeColor="text1"/>
                <w:sz w:val="24"/>
              </w:rPr>
              <w:t>DOI</w:t>
            </w:r>
            <w:r w:rsidRPr="002B33CE">
              <w:rPr>
                <w:rFonts w:ascii="Georgia" w:hAnsi="Georgia"/>
                <w:b/>
                <w:bCs/>
                <w:color w:val="000000" w:themeColor="text1"/>
                <w:sz w:val="24"/>
              </w:rPr>
              <w:t>:</w:t>
            </w:r>
          </w:p>
          <w:p w14:paraId="40900A1C" w14:textId="483F1C8D" w:rsidR="00F052E7" w:rsidRPr="002B33CE" w:rsidRDefault="00F052E7" w:rsidP="00BC2EA3">
            <w:pPr>
              <w:shd w:val="clear" w:color="auto" w:fill="FFFFFF"/>
              <w:jc w:val="both"/>
              <w:rPr>
                <w:rStyle w:val="kcmread1114"/>
                <w:rFonts w:ascii="Georgia" w:hAnsi="Georgia"/>
                <w:color w:val="000000" w:themeColor="text1"/>
                <w:lang w:val="id-ID"/>
              </w:rPr>
            </w:pPr>
          </w:p>
        </w:tc>
      </w:tr>
      <w:tr w:rsidR="002B33CE" w:rsidRPr="002B33CE" w14:paraId="00EBA08F" w14:textId="77777777" w:rsidTr="00045523">
        <w:trPr>
          <w:jc w:val="center"/>
        </w:trPr>
        <w:tc>
          <w:tcPr>
            <w:tcW w:w="2499" w:type="dxa"/>
            <w:tcBorders>
              <w:bottom w:val="single" w:sz="2" w:space="0" w:color="auto"/>
              <w:right w:val="nil"/>
            </w:tcBorders>
            <w:vAlign w:val="center"/>
          </w:tcPr>
          <w:p w14:paraId="7355DF3B" w14:textId="77777777" w:rsidR="00F052E7" w:rsidRPr="002B33CE" w:rsidRDefault="00F052E7" w:rsidP="00F70FF8">
            <w:pPr>
              <w:shd w:val="clear" w:color="auto" w:fill="FFFFFF"/>
              <w:rPr>
                <w:rFonts w:ascii="Georgia" w:hAnsi="Georgia"/>
                <w:b/>
                <w:bCs/>
                <w:color w:val="000000" w:themeColor="text1"/>
                <w:lang w:val="id-ID"/>
              </w:rPr>
            </w:pPr>
          </w:p>
        </w:tc>
        <w:tc>
          <w:tcPr>
            <w:tcW w:w="7384" w:type="dxa"/>
            <w:tcBorders>
              <w:left w:val="nil"/>
              <w:bottom w:val="single" w:sz="2" w:space="0" w:color="auto"/>
            </w:tcBorders>
          </w:tcPr>
          <w:p w14:paraId="4061BF10" w14:textId="77777777" w:rsidR="00F052E7" w:rsidRPr="002B33CE" w:rsidRDefault="00F052E7" w:rsidP="00F70FF8">
            <w:pPr>
              <w:pStyle w:val="ListParagraph"/>
              <w:ind w:left="0"/>
              <w:rPr>
                <w:rStyle w:val="kcmread1114"/>
                <w:rFonts w:ascii="Georgia" w:hAnsi="Georgia"/>
                <w:b/>
                <w:color w:val="000000" w:themeColor="text1"/>
                <w:lang w:val="id-ID"/>
              </w:rPr>
            </w:pPr>
          </w:p>
        </w:tc>
      </w:tr>
      <w:tr w:rsidR="002B33CE" w:rsidRPr="002B33CE" w14:paraId="792626A5" w14:textId="77777777" w:rsidTr="00045523">
        <w:trPr>
          <w:trHeight w:val="454"/>
          <w:jc w:val="center"/>
        </w:trPr>
        <w:tc>
          <w:tcPr>
            <w:tcW w:w="2499" w:type="dxa"/>
            <w:tcBorders>
              <w:top w:val="single" w:sz="2" w:space="0" w:color="auto"/>
              <w:bottom w:val="single" w:sz="2" w:space="0" w:color="auto"/>
              <w:right w:val="nil"/>
            </w:tcBorders>
            <w:vAlign w:val="center"/>
          </w:tcPr>
          <w:p w14:paraId="6A7B35F5" w14:textId="77777777" w:rsidR="00F052E7" w:rsidRPr="002B33CE" w:rsidRDefault="00F052E7" w:rsidP="00F70FF8">
            <w:pPr>
              <w:shd w:val="clear" w:color="auto" w:fill="FFFFFF"/>
              <w:rPr>
                <w:rFonts w:ascii="Georgia" w:hAnsi="Georgia"/>
                <w:b/>
                <w:bCs/>
                <w:color w:val="000000" w:themeColor="text1"/>
                <w:lang w:val="id-ID"/>
              </w:rPr>
            </w:pPr>
            <w:r w:rsidRPr="002B33CE">
              <w:rPr>
                <w:rFonts w:ascii="Georgia" w:hAnsi="Georgia"/>
                <w:b/>
                <w:bCs/>
                <w:color w:val="000000" w:themeColor="text1"/>
                <w:lang w:val="id-ID"/>
              </w:rPr>
              <w:t>Article Info</w:t>
            </w:r>
          </w:p>
        </w:tc>
        <w:tc>
          <w:tcPr>
            <w:tcW w:w="7384" w:type="dxa"/>
            <w:tcBorders>
              <w:top w:val="single" w:sz="2" w:space="0" w:color="auto"/>
              <w:left w:val="nil"/>
              <w:bottom w:val="single" w:sz="2" w:space="0" w:color="auto"/>
            </w:tcBorders>
            <w:vAlign w:val="center"/>
          </w:tcPr>
          <w:p w14:paraId="13D1F80F" w14:textId="392219B5" w:rsidR="00F052E7" w:rsidRPr="002B33CE" w:rsidRDefault="00EA3B75" w:rsidP="00F70FF8">
            <w:pPr>
              <w:tabs>
                <w:tab w:val="left" w:pos="3268"/>
              </w:tabs>
              <w:rPr>
                <w:rFonts w:ascii="Georgia" w:eastAsia="DFKai-SB" w:hAnsi="Georgia"/>
                <w:b/>
                <w:color w:val="000000" w:themeColor="text1"/>
              </w:rPr>
            </w:pPr>
            <w:r w:rsidRPr="002B33CE">
              <w:rPr>
                <w:rFonts w:ascii="Georgia" w:eastAsia="DFKai-SB" w:hAnsi="Georgia"/>
                <w:b/>
                <w:color w:val="000000" w:themeColor="text1"/>
                <w:lang w:val="id-ID"/>
              </w:rPr>
              <w:t>Abstr</w:t>
            </w:r>
            <w:r w:rsidRPr="002B33CE">
              <w:rPr>
                <w:rFonts w:ascii="Georgia" w:eastAsia="DFKai-SB" w:hAnsi="Georgia"/>
                <w:b/>
                <w:color w:val="000000" w:themeColor="text1"/>
              </w:rPr>
              <w:t>act</w:t>
            </w:r>
          </w:p>
        </w:tc>
      </w:tr>
      <w:tr w:rsidR="002B33CE" w:rsidRPr="002B33CE" w14:paraId="4E178541" w14:textId="77777777" w:rsidTr="00045523">
        <w:trPr>
          <w:trHeight w:val="20"/>
          <w:jc w:val="center"/>
        </w:trPr>
        <w:tc>
          <w:tcPr>
            <w:tcW w:w="2499" w:type="dxa"/>
            <w:tcBorders>
              <w:top w:val="single" w:sz="2" w:space="0" w:color="auto"/>
              <w:bottom w:val="nil"/>
              <w:right w:val="nil"/>
            </w:tcBorders>
            <w:vAlign w:val="center"/>
          </w:tcPr>
          <w:p w14:paraId="47A587EB" w14:textId="77777777" w:rsidR="00F052E7" w:rsidRPr="002B33CE" w:rsidRDefault="00F052E7" w:rsidP="00F70FF8">
            <w:pPr>
              <w:shd w:val="clear" w:color="auto" w:fill="FFFFFF"/>
              <w:rPr>
                <w:rFonts w:ascii="Georgia" w:hAnsi="Georgia"/>
                <w:b/>
                <w:bCs/>
                <w:color w:val="000000" w:themeColor="text1"/>
                <w:lang w:val="id-ID"/>
              </w:rPr>
            </w:pPr>
          </w:p>
        </w:tc>
        <w:tc>
          <w:tcPr>
            <w:tcW w:w="7384" w:type="dxa"/>
            <w:tcBorders>
              <w:top w:val="single" w:sz="2" w:space="0" w:color="auto"/>
              <w:left w:val="nil"/>
              <w:bottom w:val="nil"/>
            </w:tcBorders>
            <w:vAlign w:val="center"/>
          </w:tcPr>
          <w:p w14:paraId="345C2581" w14:textId="77777777" w:rsidR="00F052E7" w:rsidRPr="002B33CE" w:rsidRDefault="00F052E7" w:rsidP="00F70FF8">
            <w:pPr>
              <w:tabs>
                <w:tab w:val="left" w:pos="3268"/>
              </w:tabs>
              <w:rPr>
                <w:rFonts w:ascii="Georgia" w:eastAsia="DFKai-SB" w:hAnsi="Georgia"/>
                <w:b/>
                <w:color w:val="000000" w:themeColor="text1"/>
                <w:lang w:val="id-ID"/>
              </w:rPr>
            </w:pPr>
          </w:p>
        </w:tc>
      </w:tr>
      <w:tr w:rsidR="00F052E7" w:rsidRPr="002B33CE" w14:paraId="07699943" w14:textId="77777777" w:rsidTr="00045523">
        <w:trPr>
          <w:jc w:val="center"/>
        </w:trPr>
        <w:tc>
          <w:tcPr>
            <w:tcW w:w="2499" w:type="dxa"/>
            <w:tcBorders>
              <w:top w:val="nil"/>
              <w:bottom w:val="single" w:sz="2" w:space="0" w:color="auto"/>
              <w:right w:val="nil"/>
            </w:tcBorders>
          </w:tcPr>
          <w:p w14:paraId="2D32716D" w14:textId="77777777" w:rsidR="003D7C70" w:rsidRPr="002B33CE" w:rsidRDefault="003D7C70" w:rsidP="003D7C70">
            <w:pPr>
              <w:shd w:val="clear" w:color="auto" w:fill="FFFFFF"/>
              <w:rPr>
                <w:rFonts w:ascii="Georgia" w:hAnsi="Georgia"/>
                <w:bCs/>
                <w:iCs/>
                <w:color w:val="000000" w:themeColor="text1"/>
                <w:lang w:val="id-ID"/>
              </w:rPr>
            </w:pPr>
            <w:r w:rsidRPr="002B33CE">
              <w:rPr>
                <w:rFonts w:ascii="Georgia" w:hAnsi="Georgia"/>
                <w:iCs/>
                <w:color w:val="000000" w:themeColor="text1"/>
                <w:shd w:val="clear" w:color="auto" w:fill="FFFFFF"/>
                <w:lang w:val="id-ID"/>
              </w:rPr>
              <w:t>Keywords</w:t>
            </w:r>
            <w:r w:rsidRPr="002B33CE">
              <w:rPr>
                <w:rFonts w:ascii="Georgia" w:hAnsi="Georgia"/>
                <w:bCs/>
                <w:iCs/>
                <w:color w:val="000000" w:themeColor="text1"/>
                <w:lang w:val="id-ID"/>
              </w:rPr>
              <w:t>:</w:t>
            </w:r>
          </w:p>
          <w:p w14:paraId="4406A6D2" w14:textId="77777777" w:rsidR="00034974" w:rsidRPr="002B33CE" w:rsidRDefault="00034974" w:rsidP="00034974">
            <w:pPr>
              <w:rPr>
                <w:rFonts w:ascii="Georgia" w:hAnsi="Georgia"/>
                <w:i/>
                <w:color w:val="000000" w:themeColor="text1"/>
                <w:lang w:eastAsia="id-ID"/>
              </w:rPr>
            </w:pPr>
            <w:r w:rsidRPr="002B33CE">
              <w:rPr>
                <w:rFonts w:ascii="Georgia" w:hAnsi="Georgia"/>
                <w:i/>
                <w:color w:val="000000" w:themeColor="text1"/>
                <w:lang w:eastAsia="id-ID"/>
              </w:rPr>
              <w:t xml:space="preserve">Creative Thinking   Environmental Problems </w:t>
            </w:r>
          </w:p>
          <w:p w14:paraId="4E3A9B55" w14:textId="77777777" w:rsidR="00034974" w:rsidRPr="002B33CE" w:rsidRDefault="00034974" w:rsidP="00034974">
            <w:pPr>
              <w:rPr>
                <w:rFonts w:ascii="Georgia" w:hAnsi="Georgia"/>
                <w:i/>
                <w:color w:val="000000" w:themeColor="text1"/>
                <w:lang w:eastAsia="id-ID"/>
              </w:rPr>
            </w:pPr>
            <w:r w:rsidRPr="002B33CE">
              <w:rPr>
                <w:rFonts w:ascii="Georgia" w:hAnsi="Georgia"/>
                <w:i/>
                <w:color w:val="000000" w:themeColor="text1"/>
                <w:lang w:eastAsia="id-ID"/>
              </w:rPr>
              <w:t xml:space="preserve">Solid waste management </w:t>
            </w:r>
          </w:p>
          <w:p w14:paraId="3965EBF0" w14:textId="77777777" w:rsidR="00034974" w:rsidRPr="002B33CE" w:rsidRDefault="00034974" w:rsidP="00034974">
            <w:pPr>
              <w:rPr>
                <w:rFonts w:ascii="Georgia" w:hAnsi="Georgia"/>
                <w:i/>
                <w:color w:val="000000" w:themeColor="text1"/>
                <w:lang w:eastAsia="id-ID"/>
              </w:rPr>
            </w:pPr>
            <w:r w:rsidRPr="002B33CE">
              <w:rPr>
                <w:rFonts w:ascii="Georgia" w:hAnsi="Georgia"/>
                <w:i/>
                <w:color w:val="000000" w:themeColor="text1"/>
                <w:lang w:eastAsia="id-ID"/>
              </w:rPr>
              <w:t xml:space="preserve">Problem Solving </w:t>
            </w:r>
          </w:p>
          <w:p w14:paraId="0DB3F5D8" w14:textId="77777777" w:rsidR="00F052E7" w:rsidRPr="002B33CE" w:rsidRDefault="00F052E7" w:rsidP="00F70FF8">
            <w:pPr>
              <w:shd w:val="clear" w:color="auto" w:fill="FFFFFF"/>
              <w:rPr>
                <w:rFonts w:ascii="Georgia" w:hAnsi="Georgia"/>
                <w:bCs/>
                <w:i/>
                <w:color w:val="000000" w:themeColor="text1"/>
                <w:lang w:val="id-ID"/>
              </w:rPr>
            </w:pPr>
          </w:p>
          <w:p w14:paraId="4BEB1411" w14:textId="77777777" w:rsidR="00F052E7" w:rsidRPr="002B33CE" w:rsidRDefault="00F052E7" w:rsidP="00F70FF8">
            <w:pPr>
              <w:shd w:val="clear" w:color="auto" w:fill="FFFFFF"/>
              <w:rPr>
                <w:rFonts w:ascii="Georgia" w:hAnsi="Georgia"/>
                <w:bCs/>
                <w:i/>
                <w:color w:val="000000" w:themeColor="text1"/>
                <w:lang w:val="id-ID"/>
              </w:rPr>
            </w:pPr>
          </w:p>
          <w:p w14:paraId="146DBDA6" w14:textId="1EA9B5D5" w:rsidR="00F052E7" w:rsidRPr="002B33CE" w:rsidRDefault="00F052E7" w:rsidP="00F70FF8">
            <w:pPr>
              <w:shd w:val="clear" w:color="auto" w:fill="FFFFFF"/>
              <w:rPr>
                <w:rFonts w:ascii="Georgia" w:hAnsi="Georgia"/>
                <w:bCs/>
                <w:i/>
                <w:color w:val="000000" w:themeColor="text1"/>
                <w:lang w:val="id-ID"/>
              </w:rPr>
            </w:pPr>
          </w:p>
          <w:p w14:paraId="6FB181A5" w14:textId="07C78BE9" w:rsidR="003D7C70" w:rsidRPr="002B33CE" w:rsidRDefault="003D7C70" w:rsidP="00F70FF8">
            <w:pPr>
              <w:shd w:val="clear" w:color="auto" w:fill="FFFFFF"/>
              <w:rPr>
                <w:rFonts w:ascii="Georgia" w:hAnsi="Georgia"/>
                <w:bCs/>
                <w:i/>
                <w:color w:val="000000" w:themeColor="text1"/>
                <w:lang w:val="id-ID"/>
              </w:rPr>
            </w:pPr>
          </w:p>
          <w:p w14:paraId="0D4F0B97" w14:textId="77777777" w:rsidR="003D7C70" w:rsidRPr="002B33CE" w:rsidRDefault="003D7C70" w:rsidP="00F70FF8">
            <w:pPr>
              <w:shd w:val="clear" w:color="auto" w:fill="FFFFFF"/>
              <w:rPr>
                <w:rFonts w:ascii="Georgia" w:hAnsi="Georgia"/>
                <w:bCs/>
                <w:i/>
                <w:color w:val="000000" w:themeColor="text1"/>
                <w:lang w:val="id-ID"/>
              </w:rPr>
            </w:pPr>
          </w:p>
          <w:p w14:paraId="3428C3CE" w14:textId="77777777" w:rsidR="003D7C70" w:rsidRPr="002B33CE" w:rsidRDefault="003D7C70" w:rsidP="003D7C70">
            <w:pPr>
              <w:shd w:val="clear" w:color="auto" w:fill="FFFFFF"/>
              <w:rPr>
                <w:rFonts w:ascii="Georgia" w:hAnsi="Georgia"/>
                <w:bCs/>
                <w:iCs/>
                <w:color w:val="000000" w:themeColor="text1"/>
                <w:lang w:val="id-ID"/>
              </w:rPr>
            </w:pPr>
            <w:r w:rsidRPr="002B33CE">
              <w:rPr>
                <w:rFonts w:ascii="Georgia" w:hAnsi="Georgia"/>
                <w:bCs/>
                <w:iCs/>
                <w:color w:val="000000" w:themeColor="text1"/>
                <w:lang w:val="id-ID"/>
              </w:rPr>
              <w:t>Kata kunci:</w:t>
            </w:r>
          </w:p>
          <w:p w14:paraId="07227423" w14:textId="0A504A01" w:rsidR="003D7C70" w:rsidRPr="002B33CE" w:rsidRDefault="000923FA" w:rsidP="003D7C70">
            <w:pPr>
              <w:jc w:val="both"/>
              <w:rPr>
                <w:rFonts w:ascii="Georgia" w:hAnsi="Georgia"/>
                <w:i/>
                <w:color w:val="000000" w:themeColor="text1"/>
              </w:rPr>
            </w:pPr>
            <w:r w:rsidRPr="002B33CE">
              <w:rPr>
                <w:rFonts w:ascii="Georgia" w:hAnsi="Georgia"/>
                <w:i/>
                <w:color w:val="000000" w:themeColor="text1"/>
              </w:rPr>
              <w:t>Berpikir Kreatif</w:t>
            </w:r>
          </w:p>
          <w:p w14:paraId="4533B386" w14:textId="38F9340C" w:rsidR="000923FA" w:rsidRPr="002B33CE" w:rsidRDefault="000923FA" w:rsidP="003D7C70">
            <w:pPr>
              <w:jc w:val="both"/>
              <w:rPr>
                <w:rFonts w:ascii="Georgia" w:hAnsi="Georgia"/>
                <w:i/>
                <w:color w:val="000000" w:themeColor="text1"/>
              </w:rPr>
            </w:pPr>
            <w:r w:rsidRPr="002B33CE">
              <w:rPr>
                <w:rFonts w:ascii="Georgia" w:hAnsi="Georgia"/>
                <w:i/>
                <w:color w:val="000000" w:themeColor="text1"/>
              </w:rPr>
              <w:t>Masalah Lingkungan</w:t>
            </w:r>
          </w:p>
          <w:p w14:paraId="4B4E7E0F" w14:textId="679CDA51" w:rsidR="000923FA" w:rsidRPr="002B33CE" w:rsidRDefault="000923FA" w:rsidP="003D7C70">
            <w:pPr>
              <w:jc w:val="both"/>
              <w:rPr>
                <w:rFonts w:ascii="Georgia" w:hAnsi="Georgia"/>
                <w:i/>
                <w:color w:val="000000" w:themeColor="text1"/>
              </w:rPr>
            </w:pPr>
            <w:r w:rsidRPr="002B33CE">
              <w:rPr>
                <w:rFonts w:ascii="Georgia" w:hAnsi="Georgia"/>
                <w:i/>
                <w:color w:val="000000" w:themeColor="text1"/>
              </w:rPr>
              <w:t>Kemampuan Pemecahan Masalah</w:t>
            </w:r>
          </w:p>
          <w:p w14:paraId="567155A9" w14:textId="77777777" w:rsidR="00F052E7" w:rsidRPr="002B33CE" w:rsidRDefault="00F052E7" w:rsidP="00F70FF8">
            <w:pPr>
              <w:shd w:val="clear" w:color="auto" w:fill="FFFFFF"/>
              <w:rPr>
                <w:rFonts w:ascii="Georgia" w:hAnsi="Georgia"/>
                <w:i/>
                <w:color w:val="000000" w:themeColor="text1"/>
                <w:spacing w:val="-3"/>
                <w:position w:val="-1"/>
                <w:lang w:val="id-ID"/>
              </w:rPr>
            </w:pPr>
          </w:p>
        </w:tc>
        <w:tc>
          <w:tcPr>
            <w:tcW w:w="7384" w:type="dxa"/>
            <w:tcBorders>
              <w:top w:val="nil"/>
              <w:left w:val="nil"/>
              <w:bottom w:val="single" w:sz="2" w:space="0" w:color="auto"/>
            </w:tcBorders>
          </w:tcPr>
          <w:p w14:paraId="19087907" w14:textId="77777777" w:rsidR="00034974" w:rsidRPr="002B33CE" w:rsidRDefault="00034974" w:rsidP="00034974">
            <w:pPr>
              <w:jc w:val="both"/>
              <w:rPr>
                <w:rFonts w:ascii="Georgia" w:hAnsi="Georgia"/>
                <w:color w:val="000000" w:themeColor="text1"/>
                <w:lang w:eastAsia="id-ID"/>
              </w:rPr>
            </w:pPr>
            <w:r w:rsidRPr="002B33CE">
              <w:rPr>
                <w:rFonts w:ascii="Georgia" w:hAnsi="Georgia"/>
                <w:color w:val="000000" w:themeColor="text1"/>
                <w:lang w:eastAsia="id-ID"/>
              </w:rPr>
              <w:t>21st century is a period that requires the transformation of life including education in it. Changes that occur include increased interaction between individuals globally, the flood of open information, computing technology that reaches all types of work that can be done anywhere and anytime and the occurrence of cultural integration across borders and even countries. This situation requires individuals to have the resilience to adapt and survive in this century. The quality of teachers in education plays an important role in building various skills of students to face life's demands. Creative thinking skills are one of the competencies needed in this century. Fostering creativity in learning activities is very important to strengthen student resilience in the future. This study aims to provide an overview of students' creative thinking skills on environmental problems. This research uses quantitative descriptive methods. This article begins with the results of an assessment of the ability to think creatively in early semester students in the Biology Education study program major of Prof. Dr. Hamka University then analyze the factors that affect critical thinking skills through a questionnaire instrument to describe learning activities that build creative thinking skills both from the internal and external aspect.</w:t>
            </w:r>
          </w:p>
          <w:p w14:paraId="1B026714" w14:textId="77777777" w:rsidR="00F052E7" w:rsidRPr="002B33CE" w:rsidRDefault="00F052E7" w:rsidP="00F70FF8">
            <w:pPr>
              <w:tabs>
                <w:tab w:val="left" w:pos="3268"/>
              </w:tabs>
              <w:jc w:val="both"/>
              <w:rPr>
                <w:rFonts w:ascii="Georgia" w:eastAsia="Arial" w:hAnsi="Georgia"/>
                <w:color w:val="000000" w:themeColor="text1"/>
                <w:spacing w:val="2"/>
                <w:lang w:val="id-ID"/>
              </w:rPr>
            </w:pPr>
          </w:p>
          <w:p w14:paraId="46393A4A" w14:textId="77777777" w:rsidR="00F70FF8" w:rsidRPr="002B33CE" w:rsidRDefault="00F70FF8" w:rsidP="00F70FF8">
            <w:pPr>
              <w:tabs>
                <w:tab w:val="left" w:pos="3268"/>
              </w:tabs>
              <w:jc w:val="both"/>
              <w:rPr>
                <w:rFonts w:ascii="Georgia" w:eastAsia="Arial" w:hAnsi="Georgia"/>
                <w:color w:val="000000" w:themeColor="text1"/>
                <w:spacing w:val="2"/>
                <w:lang w:val="id-ID"/>
              </w:rPr>
            </w:pPr>
          </w:p>
          <w:p w14:paraId="1C7E026D" w14:textId="15E03FAB" w:rsidR="00F052E7" w:rsidRPr="002B33CE" w:rsidRDefault="00DE16E4" w:rsidP="00F70FF8">
            <w:pPr>
              <w:tabs>
                <w:tab w:val="left" w:pos="3268"/>
              </w:tabs>
              <w:autoSpaceDE w:val="0"/>
              <w:autoSpaceDN w:val="0"/>
              <w:adjustRightInd w:val="0"/>
              <w:rPr>
                <w:rFonts w:ascii="Georgia" w:hAnsi="Georgia"/>
                <w:b/>
                <w:bCs/>
                <w:color w:val="000000" w:themeColor="text1"/>
              </w:rPr>
            </w:pPr>
            <w:r w:rsidRPr="002B33CE">
              <w:rPr>
                <w:rFonts w:ascii="Georgia" w:hAnsi="Georgia"/>
                <w:b/>
                <w:bCs/>
                <w:color w:val="000000" w:themeColor="text1"/>
              </w:rPr>
              <w:t>Abstra</w:t>
            </w:r>
            <w:r w:rsidR="00EA3B75" w:rsidRPr="002B33CE">
              <w:rPr>
                <w:rFonts w:ascii="Georgia" w:hAnsi="Georgia"/>
                <w:b/>
                <w:bCs/>
                <w:color w:val="000000" w:themeColor="text1"/>
              </w:rPr>
              <w:t>k</w:t>
            </w:r>
          </w:p>
          <w:p w14:paraId="292FC566" w14:textId="77777777" w:rsidR="00F052E7" w:rsidRPr="002B33CE" w:rsidRDefault="00F052E7" w:rsidP="00F70FF8">
            <w:pPr>
              <w:tabs>
                <w:tab w:val="left" w:pos="3268"/>
              </w:tabs>
              <w:autoSpaceDE w:val="0"/>
              <w:autoSpaceDN w:val="0"/>
              <w:adjustRightInd w:val="0"/>
              <w:rPr>
                <w:rFonts w:ascii="Georgia" w:hAnsi="Georgia"/>
                <w:b/>
                <w:bCs/>
                <w:color w:val="000000" w:themeColor="text1"/>
                <w:lang w:val="id-ID"/>
              </w:rPr>
            </w:pPr>
          </w:p>
          <w:p w14:paraId="77A84AF7" w14:textId="6140A4B3" w:rsidR="00034974" w:rsidRPr="002B33CE" w:rsidRDefault="00034974" w:rsidP="00034974">
            <w:pPr>
              <w:jc w:val="both"/>
              <w:rPr>
                <w:rFonts w:ascii="Georgia" w:hAnsi="Georgia"/>
                <w:color w:val="000000" w:themeColor="text1"/>
                <w:shd w:val="clear" w:color="auto" w:fill="FFFFFF"/>
                <w:lang w:val="id-ID" w:eastAsia="id-ID"/>
              </w:rPr>
            </w:pPr>
            <w:r w:rsidRPr="002B33CE">
              <w:rPr>
                <w:rFonts w:ascii="Georgia" w:hAnsi="Georgia"/>
                <w:color w:val="000000" w:themeColor="text1"/>
                <w:shd w:val="clear" w:color="auto" w:fill="FFFFFF"/>
                <w:lang w:val="id-ID" w:eastAsia="id-ID"/>
              </w:rPr>
              <w:t>Abad ke-21 adalah periode yang membutuhkan transformasi kehidupan termasuk pendidikan di dalamnya. Perubahan yang terjadi meliputi peningkatan interaksi antar individu secara global, banjir informasi terbuka, teknologi komputasi yang menjangkau semua jenis pekerjaan yang dapat dilakukan di mana saja dan kapan saja serta terjadinya integrasi budaya lintas batas wilayah dan bahkan negara. Situasi ini menuntut individu untuk memiliki ketahanan untuk beradaptasi dan bertahan hidup di abad ini. Kualitas guru dalam pendidikan memainkan peran penting dalam membangun berbagai keterampilan siswa menghadapi tuntutan hidup. Keterampilan berpikir kreatif adalah salah satu kompetensi yang dibutuhkan di abad ini. Menumbuhkan kreativitas dalam kegiatan belajar sangat penting untuk memperkuat ketahanan siswa di masa depan.</w:t>
            </w:r>
            <w:r w:rsidRPr="002B33CE">
              <w:rPr>
                <w:rFonts w:ascii="Georgia" w:hAnsi="Georgia"/>
                <w:color w:val="000000" w:themeColor="text1"/>
                <w:lang w:val="id-ID" w:eastAsia="id-ID"/>
              </w:rPr>
              <w:t xml:space="preserve"> Penelitian ini bertujuan untuk memberi gambaran kemampuan berpikir kreatif mahasiswa terhadap permasalahan lingkungan. Penelitian ini menggunakan metode deskriptif kuantitatif.</w:t>
            </w:r>
            <w:r w:rsidRPr="002B33CE">
              <w:rPr>
                <w:rFonts w:ascii="Georgia" w:hAnsi="Georgia"/>
                <w:color w:val="000000" w:themeColor="text1"/>
                <w:shd w:val="clear" w:color="auto" w:fill="FFFFFF"/>
                <w:lang w:val="id-ID" w:eastAsia="id-ID"/>
              </w:rPr>
              <w:t xml:space="preserve"> Artikel ini dimulai dengan hasil penilaian kemampuan berpikir kreatif  pada siswa semester awal di program studi Pendidikan Biologi Universitas Prof.</w:t>
            </w:r>
            <w:r w:rsidR="00094241">
              <w:rPr>
                <w:rFonts w:ascii="Georgia" w:hAnsi="Georgia"/>
                <w:color w:val="000000" w:themeColor="text1"/>
                <w:shd w:val="clear" w:color="auto" w:fill="FFFFFF"/>
                <w:lang w:eastAsia="id-ID"/>
              </w:rPr>
              <w:t xml:space="preserve"> </w:t>
            </w:r>
            <w:r w:rsidRPr="002B33CE">
              <w:rPr>
                <w:rFonts w:ascii="Georgia" w:hAnsi="Georgia"/>
                <w:color w:val="000000" w:themeColor="text1"/>
                <w:shd w:val="clear" w:color="auto" w:fill="FFFFFF"/>
                <w:lang w:val="id-ID" w:eastAsia="id-ID"/>
              </w:rPr>
              <w:t>Dr.</w:t>
            </w:r>
            <w:r w:rsidR="00094241">
              <w:rPr>
                <w:rFonts w:ascii="Georgia" w:hAnsi="Georgia"/>
                <w:color w:val="000000" w:themeColor="text1"/>
                <w:shd w:val="clear" w:color="auto" w:fill="FFFFFF"/>
                <w:lang w:eastAsia="id-ID"/>
              </w:rPr>
              <w:t xml:space="preserve"> </w:t>
            </w:r>
            <w:r w:rsidRPr="002B33CE">
              <w:rPr>
                <w:rFonts w:ascii="Georgia" w:hAnsi="Georgia"/>
                <w:color w:val="000000" w:themeColor="text1"/>
                <w:shd w:val="clear" w:color="auto" w:fill="FFFFFF"/>
                <w:lang w:val="id-ID" w:eastAsia="id-ID"/>
              </w:rPr>
              <w:t>Hamka kemudian menganalisis faktor-fakor yang mempengaruhi kemampuan berpikir kritis melalui instrumen angket untuk menggambarkan  kegiatan belajar yang membangun keterampilan berpikir kreatif baik dari aspek internal maupun eksternal.</w:t>
            </w:r>
          </w:p>
          <w:p w14:paraId="340D9067" w14:textId="77777777" w:rsidR="00F052E7" w:rsidRPr="002B33CE" w:rsidRDefault="00F052E7" w:rsidP="00F70FF8">
            <w:pPr>
              <w:tabs>
                <w:tab w:val="left" w:pos="3268"/>
              </w:tabs>
              <w:jc w:val="both"/>
              <w:rPr>
                <w:rStyle w:val="kcmread1114"/>
                <w:rFonts w:ascii="Georgia" w:eastAsiaTheme="minorHAnsi" w:hAnsi="Georgia"/>
                <w:color w:val="000000" w:themeColor="text1"/>
                <w:shd w:val="clear" w:color="auto" w:fill="FFFFFF"/>
                <w:lang w:val="id-ID"/>
              </w:rPr>
            </w:pPr>
          </w:p>
        </w:tc>
      </w:tr>
    </w:tbl>
    <w:p w14:paraId="79294AA5" w14:textId="77777777" w:rsidR="00F052E7" w:rsidRPr="002B33CE" w:rsidRDefault="00F052E7" w:rsidP="00F70FF8">
      <w:pPr>
        <w:spacing w:after="0" w:line="240" w:lineRule="auto"/>
        <w:rPr>
          <w:rFonts w:ascii="Georgia" w:hAnsi="Georgia"/>
          <w:color w:val="000000" w:themeColor="text1"/>
          <w:sz w:val="20"/>
        </w:rPr>
      </w:pPr>
    </w:p>
    <w:p w14:paraId="40219BB2" w14:textId="04EE06B5" w:rsidR="00F70FF8" w:rsidRPr="002B33CE" w:rsidRDefault="00F70FF8" w:rsidP="00B24C2D">
      <w:pPr>
        <w:spacing w:after="0" w:line="360" w:lineRule="auto"/>
        <w:jc w:val="both"/>
        <w:rPr>
          <w:rFonts w:ascii="Georgia" w:eastAsia="Arial" w:hAnsi="Georgia" w:cs="Times New Roman"/>
          <w:b/>
          <w:color w:val="000000" w:themeColor="text1"/>
          <w:lang w:val="en-US"/>
        </w:rPr>
      </w:pPr>
      <w:r w:rsidRPr="002B33CE">
        <w:rPr>
          <w:rFonts w:ascii="Georgia" w:eastAsia="Arial" w:hAnsi="Georgia" w:cs="Times New Roman"/>
          <w:b/>
          <w:color w:val="000000" w:themeColor="text1"/>
        </w:rPr>
        <w:t>INTRODUCTION</w:t>
      </w:r>
      <w:r w:rsidR="00723B12" w:rsidRPr="002B33CE">
        <w:rPr>
          <w:rFonts w:ascii="Georgia" w:eastAsia="Arial" w:hAnsi="Georgia" w:cs="Times New Roman"/>
          <w:b/>
          <w:color w:val="000000" w:themeColor="text1"/>
          <w:lang w:val="en-US"/>
        </w:rPr>
        <w:t xml:space="preserve"> </w:t>
      </w:r>
    </w:p>
    <w:p w14:paraId="6155EEAD" w14:textId="0B0A201A"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Current environmental problems are problems experienced by every individual, wherever they are. Increase of population, modernization, culture and lifestyle are factors that influence environmental problems. Therefore we need creative ideas from the home and school environment to solve environmental problems. Creative ideas can be grown through learning methods related to real activities that are challenging and in the form of problem solving. In</w:t>
      </w:r>
      <w:r w:rsidR="00E41319">
        <w:rPr>
          <w:rFonts w:ascii="Georgia" w:eastAsia="Times New Roman" w:hAnsi="Georgia" w:cs="Times New Roman"/>
          <w:color w:val="000000" w:themeColor="text1"/>
          <w:sz w:val="20"/>
          <w:szCs w:val="20"/>
          <w:lang w:val="en-US"/>
        </w:rPr>
        <w:t xml:space="preserve"> </w:t>
      </w:r>
      <w:bookmarkStart w:id="0" w:name="_GoBack"/>
      <w:bookmarkEnd w:id="0"/>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{"citationItems":[{"id":"ITEM-1","itemData":{"author":[{"dropping-particle":"","family":"Birgili","given":"Bengi","non-dropping-particle":"","parse-names":false,"suffix":""}],"container-title":"Journal of Gifted Education and Creativity","id":"ITEM-1","issued":{"date-parts":[["2015","12","15"]]},"page":"71-80","title":"Creative and Critical Thinking Skills in Problem-based Learning Environments","type":"article-journal","volume":"2"},"uris":["http://www.mendeley.com/documents/?uuid=89c324c6-4f27-4d22-b0b6-1182ba1438d2"]}],"mendeley":{"formattedCitation":"(Birgili, 2015)","plainTextFormattedCitation":"(Birgili, 2015)","previouslyFormattedCitation":"(Birgili, 2015)"},"properties":{"noteIndex":0},"schema":"https://github.com/citation-style-language/schema/raw/master/csl-citation.json"}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bCs/>
          <w:noProof/>
          <w:color w:val="000000" w:themeColor="text1"/>
          <w:sz w:val="20"/>
          <w:szCs w:val="20"/>
          <w:lang w:val="en-US"/>
        </w:rPr>
        <w:t>(Birgili, 2015)</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it is said that these creative thinking skills will involve imagination, intelligence, insight, and ideas when facing certain situations. In addition, they try to suggest authentic and new designs, generate different hypotheses, solve problems with the help of finding and finding new applications</w:t>
      </w:r>
      <w:r w:rsidRPr="002B33CE">
        <w:rPr>
          <w:rFonts w:ascii="Georgia" w:eastAsia="Times New Roman" w:hAnsi="Georgia" w:cs="Times New Roman"/>
          <w:color w:val="000000" w:themeColor="text1"/>
          <w:sz w:val="20"/>
          <w:szCs w:val="20"/>
          <w:lang w:val="en-US"/>
        </w:rPr>
        <w:t xml:space="preserve">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{"citationItems":[{"id":"ITEM-1","itemData":{"DOI":"10.1177/1076217514544030","ISSN":"1076-2175","abstract":"This qualitative study explored student and parent perspectives on the extent to which gifted and talented programs met the educational needs of gifted students in Grades 4 to 7. Fifty-two interviews were conducted with students and parents from 10 public schools including seven neighborhood schools and three magnet schools. Participant perceptions were considered through Renzulli?s (2002) three-ring conception model, which defines gifted behavior according to three traits: above-average ability, high levels of task commitment, and high levels of creativity. Results indicated that the gifted and talented programs in neighborhood schools were inconsistent in differentiating instruction to meet the educational needs of gifted students, whereas gifted education in magnet schools was described as consistently meeting gifted students? needs. Despite gifted program inconsistencies in neighborhood schools, parents and students from those schools were typically unwilling to transfer to magnet schools citing convenience, diversity of student population, and friendships. All parents pressed for increased funding of gifted and talented education (GATE).","author":[{"dropping-particle":"","family":"Young","given":"Mary Hahn","non-dropping-particle":"","parse-names":false,"suffix":""},{"dropping-particle":"","family":"Balli","given":"Sandra J","non-dropping-particle":"","parse-names":false,"suffix":""}],"container-title":"Gifted Child Today","id":"ITEM-1","issue":"4","issued":{"date-parts":[["2014","10","1"]]},"note":"doi: 10.1177/1076217514544030","page":"236-246","publisher":"SAGE Publications Inc","title":"Gifted and Talented Education (GATE): Student and Parent Perspectives","type":"article-journal","volume":"37"},"uris":["http://www.mendeley.com/documents/?uuid=abf3e8a3-8310-4324-a716-edc968d1bca9"]}],"mendeley":{"formattedCitation":"(Young &amp; Balli, 2014)","plainTextFormattedCitation":"(Young &amp; Balli, 2014)","previouslyFormattedCitation":"(Young &amp; Balli, 2014)"},"properties":{"noteIndex":0},"schema":"https://github.com/citation-style-language/schema/raw/master/csl-citation.json"}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bCs/>
          <w:noProof/>
          <w:color w:val="000000" w:themeColor="text1"/>
          <w:sz w:val="20"/>
          <w:szCs w:val="20"/>
          <w:lang w:val="en-US"/>
        </w:rPr>
        <w:t>(Young &amp; Balli, 2014)</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w:t>
      </w:r>
    </w:p>
    <w:p w14:paraId="38B240E2"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Creative Thinking Ability is skills to think in line with discourse of education quality improvement through a learning process that meets the objectives. Therefore, we need a strategy or method that can improve the quality of learning that is oriented towards achieving goals. The ability to think is a learning and teaching situation that can encourage processes that produce the desired mental results from an activity. This statement is strengthened by the assessment that a teacher's intervention can improve thinking and by requiring the use of mental processes to plan, describe, and evaluate thinking and learning processes</w:t>
      </w:r>
      <w:r w:rsidRPr="002B33CE">
        <w:rPr>
          <w:rFonts w:ascii="Georgia" w:eastAsia="Times New Roman" w:hAnsi="Georgia" w:cs="Times New Roman"/>
          <w:color w:val="000000" w:themeColor="text1"/>
          <w:sz w:val="20"/>
          <w:szCs w:val="20"/>
          <w:lang w:val="en-US"/>
        </w:rPr>
        <w:t xml:space="preserve">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{"citationItems":[{"id":"ITEM-1","itemData":{"author":[{"dropping-particle":"","family":"Sunaryo","given":"W","non-dropping-particle":"","parse-names":false,"suffix":""}],"id":"ITEM-1","issued":{"date-parts":[["2013"]]},"publisher":"PT. Remaja Rosdakarya","publisher-place":"Bandung","title":"Taksonomi Berpikir","type":"book"},"uris":["http://www.mendeley.com/documents/?uuid=adcb1535-b9e5-4fc1-9f76-997e181c8015"]}],"mendeley":{"formattedCitation":"(Sunaryo, 2013)","plainTextFormattedCitation":"(Sunaryo, 2013)","previouslyFormattedCitation":"(Sunaryo, 2013)"},"properties":{"noteIndex":0},"schema":"https://github.com/citation-style-language/schema/raw/master/csl-citation.json"}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(Sunaryo, 2013)</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Everyone has important thinking skills or trained thinking. Good thinking skills could be an asset to solve problems that occur in their lives. People who think are people who have an idea or opinion about something or a process of looking for meaning and an effort to reach an appropriate decision. In learning that requires thinking skills, teachers should refer to approaches of specific strategies and procedures that can be implemented and can make students learn more effectively. Ashman Conway in Sunaryo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{"citationItems":[{"id":"ITEM-1","itemData":{"author":[{"dropping-particle":"","family":"Sunaryo","given":"W","non-dropping-particle":"","parse-names":false,"suffix":""}],"id":"ITEM-1","issued":{"date-parts":[["2013"]]},"publisher":"PT. Remaja Rosdakarya","publisher-place":"Bandung","title":"Taksonomi Berpikir","type":"book"},"uris":["http://www.mendeley.com/documents/?uuid=adcb1535-b9e5-4fc1-9f76-997e181c8015"]}],"mendeley":{"formattedCitation":"(Sunaryo, 2013)","plainTextFormattedCitation":"(Sunaryo, 2013)","previouslyFormattedCitation":"(Sunaryo, 2013)"},"properties":{"noteIndex":0},"schema":"https://github.com/citation-style-language/schema/raw/master/csl-citation.json"}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(Sunaryo, 2013)</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suggests that thinking skills involve six types of thinking, namely metacognition, critical thinking, creative thinking, cognitive processes (problem solving and decision making), core thinking skills (such as representation and summarization), understanding the role of knowledge content. Creativity is an intelligence that develops in individuals, in the form of attitudes, habits, and actions in giving birth to something new and original to solve problems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{"citationItems":[{"id":"ITEM-1","itemData":{"author":[{"dropping-particle":"","family":"Sudarma","given":"M","non-dropping-particle":"","parse-names":false,"suffix":""}],"id":"ITEM-1","issued":{"date-parts":[["2013"]]},"publisher":"PT. Raja Grafindo","publisher-place":"Jakarta","title":"Mengembangkan Keterampilan Berpikir Kreatif","type":"book"},"uris":["http://www.mendeley.com/documents/?uuid=01ae6fa4-bca9-481a-a9ee-089277e8e0f4"]}],"mendeley":{"formattedCitation":"(Sudarma, 2013)","plainTextFormattedCitation":"(Sudarma, 2013)","previouslyFormattedCitation":"(Sudarma, 2013)"},"properties":{"noteIndex":0},"schema":"https://github.com/citation-style-language/schema/raw/master/csl-citation.json"}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(Sudarma, 2013)</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According to Downing in Sani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{"citationItems":[{"id":"ITEM-1","itemData":{"author":[{"dropping-particle":"","family":"Sani","given":"","non-dropping-particle":"","parse-names":false,"suffix":""}],"id":"ITEM-1","issued":{"date-parts":[["2013"]]},"publisher":"Bumi Aksara","publisher-place":"Jakarta","title":"Pembelajaran Saintifik untuk Implementasi Kurikulum 2013","type":"book"},"uris":["http://www.mendeley.com/documents/?uuid=6da983e5-53d2-4b30-9cb9-ceeae15b98fa"]}],"mendeley":{"formattedCitation":"(Sani, 2013)","manualFormatting":"(2013)","plainTextFormattedCitation":"(Sani, 2013)","previouslyFormattedCitation":"(Sani, 2013)"},"properties":{"noteIndex":0},"schema":"https://github.com/citation-style-language/schema/raw/master/csl-citation.json"}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(2013)</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creativity can be defined as a process to produce something new from existing elements by rearranging these elements. Creative thinking can produce quality thinking, this creative process certainly cannot be carried out without the knowledge gained by developing good thinking. Creative thinking provides support to students so that students are more motivated to be more creative. Sani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{"citationItems":[{"id":"ITEM-1","itemData":{"author":[{"dropping-particle":"","family":"Sani","given":"","non-dropping-particle":"","parse-names":false,"suffix":""}],"id":"ITEM-1","issued":{"date-parts":[["2013"]]},"publisher":"Bumi Aksara","publisher-place":"Jakarta","title":"Pembelajaran Saintifik untuk Implementasi Kurikulum 2013","type":"book"},"uris":["http://www.mendeley.com/documents/?uuid=6da983e5-53d2-4b30-9cb9-ceeae15b98fa"]}],"mendeley":{"formattedCitation":"(Sani, 2013)","manualFormatting":"(2013)","plainTextFormattedCitation":"(Sani, 2013)","previouslyFormattedCitation":"(Sani, 2013)"},"properties":{"noteIndex":0},"schema":"https://github.com/citation-style-language/schema/raw/master/csl-citation.json"}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(2013)</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lang w:val="en-US"/>
        </w:rPr>
        <w:t xml:space="preserve"> </w:t>
      </w:r>
      <w:r w:rsidRPr="002B33CE">
        <w:rPr>
          <w:rFonts w:ascii="Georgia" w:eastAsia="Times New Roman" w:hAnsi="Georgia" w:cs="Times New Roman"/>
          <w:color w:val="000000" w:themeColor="text1"/>
          <w:sz w:val="20"/>
          <w:szCs w:val="20"/>
        </w:rPr>
        <w:t xml:space="preserve">argues that creative thinking is the ability to develop unusual, quality, and appropriate ideas. This shows that creative thinking can develop thinking power that includes insight with broad elements. There are three main components related to creativity, including: creative thinking skills, expertise (technical, procedural, and intellectual knowledge), and motivation. Creative thinking skills in solving a problem are shown by submitting ideas that are different from solutions in general. Each person's creative thinking will be different and related to the way they think in approaching the problem. Creative thinking is related to knowledge possessed by a person and is relevant to the proposed creative idea or effort. Meanwhile, motivation is the key to generating creativity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{"citationItems":[{"id":"ITEM-1","itemData":{"author":[{"dropping-particle":"","family":"Sani","given":"","non-dropping-particle":"","parse-names":false,"suffix":""}],"id":"ITEM-1","issued":{"date-parts":[["2013"]]},"publisher":"Bumi Aksara","publisher-place":"Jakarta","title":"Pembelajaran Saintifik untuk Implementasi Kurikulum 2013","type":"book"},"uris":["http://www.mendeley.com/documents/?uuid=6da983e5-53d2-4b30-9cb9-ceeae15b98fa"]}],"mendeley":{"formattedCitation":"(Sani, 2013)","plainTextFormattedCitation":"(Sani, 2013)","previouslyFormattedCitation":"(Sani, 2013)"},"properties":{"noteIndex":0},"schema":"https://github.com/citation-style-language/schema/raw/master/csl-citation.json"}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(Sani, 2013)</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Munandar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{"citationItems":[{"id":"ITEM-1","itemData":{"author":[{"dropping-particle":"","family":"Munandar","given":"U","non-dropping-particle":"","parse-names":false,"suffix":""}],"id":"ITEM-1","issued":{"date-parts":[["2012"]]},"publisher":"Rineka Cipta","publisher-place":"Jakarta","title":"Pengembangan Kreativitas Anak Berbakat","type":"book"},"uris":["http://www.mendeley.com/documents/?uuid=a32a229e-df40-4885-8fe7-51e709d8d258"]}],"mendeley":{"formattedCitation":"(Munandar, 2012)","manualFormatting":"(2012)","plainTextFormattedCitation":"(Munandar, 2012)","previouslyFormattedCitation":"(Munandar, 2012)"},"properties":{"noteIndex":0},"schema":"https://github.com/citation-style-language/schema/raw/master/csl-citation.json"}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(2012)</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states that creativity or creative thinking is operationally formulated as a process that is reflected in fluency, flexibility, and originality in thinking. </w:t>
      </w:r>
    </w:p>
    <w:p w14:paraId="296FF65E"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Based on cognition and thinking process, Munandar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{"citationItems":[{"id":"ITEM-1","itemData":{"author":[{"dropping-particle":"","family":"Munandar","given":"U","non-dropping-particle":"","parse-names":false,"suffix":""}],"id":"ITEM-1","issued":{"date-parts":[["2012"]]},"publisher":"Rineka Cipta","publisher-place":"Jakarta","title":"Pengembangan Kreativitas Anak Berbakat","type":"book"},"uris":["http://www.mendeley.com/documents/?uuid=a32a229e-df40-4885-8fe7-51e709d8d258"]}],"mendeley":{"formattedCitation":"(Munandar, 2012)","manualFormatting":"(2012:192)","plainTextFormattedCitation":"(Munandar, 2012)","previouslyFormattedCitation":"(Munandar, 2012)"},"properties":{"noteIndex":0},"schema":"https://github.com/citation-style-language/schema/raw/master/csl-citation.json"}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(2012</w:t>
      </w:r>
      <w:r w:rsidRPr="002B33CE">
        <w:rPr>
          <w:rFonts w:ascii="Georgia" w:eastAsia="Times New Roman" w:hAnsi="Georgia" w:cs="Times New Roman"/>
          <w:noProof/>
          <w:color w:val="000000" w:themeColor="text1"/>
          <w:sz w:val="20"/>
          <w:szCs w:val="20"/>
          <w:lang w:val="en-US"/>
        </w:rPr>
        <w:t>:192</w:t>
      </w:r>
      <w:r w:rsidRPr="002B33CE">
        <w:rPr>
          <w:rFonts w:ascii="Georgia" w:eastAsia="Times New Roman" w:hAnsi="Georgia" w:cs="Times New Roman"/>
          <w:noProof/>
          <w:color w:val="000000" w:themeColor="text1"/>
          <w:sz w:val="20"/>
          <w:szCs w:val="20"/>
        </w:rPr>
        <w:t>)</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lang w:val="en-US"/>
        </w:rPr>
        <w:t xml:space="preserve"> </w:t>
      </w:r>
      <w:r w:rsidRPr="002B33CE">
        <w:rPr>
          <w:rFonts w:ascii="Georgia" w:eastAsia="Times New Roman" w:hAnsi="Georgia" w:cs="Times New Roman"/>
          <w:color w:val="000000" w:themeColor="text1"/>
          <w:sz w:val="20"/>
          <w:szCs w:val="20"/>
        </w:rPr>
        <w:t xml:space="preserve">clarifies some of the characteristics of students who have the ability to think creatively in the learning process, those are : Skills to think smoothly, generate many ideas, solve problems or questions, provide many ways or suggestions for do various things, always think of more than one answer, flexible thinking skills, generate various ideas, answers or questions, can see problems from different points of view, look for many alternatives or different directions, be able to change the way of approach or way of thinking, original thinking skills, able to generate new and unique expressions, think of unusual ways to express oneself, be able to make unusual combinations of parts or elements, detail (elaborate), be able to develop and enrich an idea or product , adding or detailing the details of an object, idea or situation so that it becomes more interesting. According to Henriksen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DOI":"10.1016/j.tsc.2017.10.001","author":[{"dropping-particle":"","family":"Henriksen","given":"Danah","non-dropping-particle":"","parse-names":false,"suffix":""},{"dropping-particle":"","family":"Richardson","given":"Carmen","non-dropping-particle":"","parse-names":false,"suffix":""},{"dropping-particle":"","family":"Mehta","given":"Rohit","non-dropping-particle":"","parse-names":false,"suffix":""}],"container-title":"Thinking Skills and Creativity","id":"ITEM-1","issued":{"date-parts":[["2017","10","5"]]},"title":"Design Thinking: A Creative Approach to Educational Problems of Practice","type":"article-journal","volume":"26"},"uris":["http://www.mendeley.com/documents/?uuid=e76380df-935e-436a-951a-4b17ea65cd4e"]}],"mendeley":{"formattedCitation":"(Henriksen et al., 2017)","plainTextFormattedCitation":"(Henriksen et al., 2017)","previouslyFormattedCitation":"(Henriksen et al., 2017)"},"properties":{"noteIndex":0},"schema":"https://github.com/citation-style-language/schema/raw/master/csl-citation.json"}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bCs/>
          <w:noProof/>
          <w:color w:val="000000" w:themeColor="text1"/>
          <w:sz w:val="20"/>
          <w:szCs w:val="20"/>
          <w:lang w:val="en-US"/>
        </w:rPr>
        <w:t>(Henriksen et al., 2017)</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the ability to think creatively can be explored in the opportunity to receive many ideas, to exchange ideas without limits in an effort to think broadly and deeply about solutions to practical problems. The strategy of educators reflects the joy of bringing ideas to life to build something tangible from an idea. Schools face challenges, from designing lessons for content mastery, funding for professionals, development, to creating 21st century learning experiences. Davis in Munandar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{"citationItems":[{"id":"ITEM-1","itemData":{"author":[{"dropping-particle":"","family":"Munandar","given":"U","non-dropping-particle":"","parse-names":false,"suffix":""}],"id":"ITEM-1","issued":{"date-parts":[["2012"]]},"publisher":"Rineka Cipta","publisher-place":"Jakarta","title":"Pengembangan Kreativitas Anak Berbakat","type":"book"},"uris":["http://www.mendeley.com/documents/?uuid=a32a229e-df40-4885-8fe7-51e709d8d258"]}],"mendeley":{"formattedCitation":"(Munandar, 2012)","plainTextFormattedCitation":"(Munandar, 2012)","previouslyFormattedCitation":"(Munandar, 2012)"},"properties":{"noteIndex":0},"schema":"https://github.com/citation-style-language/schema/raw/master/csl-citation.json"}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(Munandar, 2012)</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looked at three main uses of creativity tests, namely "to identify creative gifted students for gifted child programs, for research purposes, and for counseling purposes". 1) Identification of Creative Gifted Children. Creativity tests are most often used to identify creative </w:t>
      </w:r>
      <w:r w:rsidRPr="002B33CE">
        <w:rPr>
          <w:rFonts w:ascii="Georgia" w:eastAsia="Times New Roman" w:hAnsi="Georgia" w:cs="Times New Roman"/>
          <w:color w:val="000000" w:themeColor="text1"/>
          <w:sz w:val="20"/>
          <w:szCs w:val="20"/>
        </w:rPr>
        <w:lastRenderedPageBreak/>
        <w:t>gifted students for talented student programs. Most talent programs have the principle that a) creative students need to be identified and b) creativity needs to be taught. 2) Research. Research can help in understanding the concept of creativity, creative people, and help in understanding the development of creativity. Creativity tests in research can be used in two ways: a) to identify creative people and compare them to ordinary people. b) creativity tests in research can be used to assess the impact of creativity training on participants' creativity. 3) Counseling. Creativity tests can help counselors, teachers, parents, and students themselves to recognize and understand students' hidden creative talents. This makes it possible for teachers to be able to design activities that are challenging for creative students. Canel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{"citationItems":[{"id":"ITEM-1","itemData":{"DOI":"10.12738/SM/2015.2.007","author":[{"dropping-particle":"","family":"Canel","given":"Azize","non-dropping-particle":"","parse-names":false,"suffix":""}],"container-title":"Sanitas Magisterium","id":"ITEM-1","issued":{"date-parts":[["2015","10","27"]]},"title":"A Program Based on the Guilford Model that Enhances Creativity and Creative Psychological Counseling","type":"article-journal","volume":"1"},"uris":["http://www.mendeley.com/documents/?uuid=5eeb5ce2-a803-45a0-8db5-e073a8078191"]}],"mendeley":{"formattedCitation":"(Canel, 2015)","plainTextFormattedCitation":"(Canel, 2015)","previouslyFormattedCitation":"(Canel, 2015)"},"properties":{"noteIndex":0},"schema":"https://github.com/citation-style-language/schema/raw/master/csl-citation.json"}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bCs/>
          <w:noProof/>
          <w:color w:val="000000" w:themeColor="text1"/>
          <w:sz w:val="20"/>
          <w:szCs w:val="20"/>
          <w:lang w:val="en-US"/>
        </w:rPr>
        <w:t>(Canel, 2015)</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has tested the effectiveness of an 11-week program that aims to improve the creativity and creative counseling skills of counseling candidates, which is based on Guilford's creative thinking model, and scores from four perspectives, namely: Fluency, flexibility, originality and elaboration. The result is that this program is effective for all dimensions. </w:t>
      </w:r>
    </w:p>
    <w:p w14:paraId="474B4CF0" w14:textId="77777777" w:rsidR="00034974" w:rsidRPr="002B33CE" w:rsidRDefault="00034974" w:rsidP="00034974">
      <w:pPr>
        <w:spacing w:after="0"/>
        <w:ind w:firstLine="720"/>
        <w:jc w:val="both"/>
        <w:rPr>
          <w:rFonts w:ascii="Georgia" w:hAnsi="Georgia" w:cs="Times New Roman"/>
          <w:color w:val="000000" w:themeColor="text1"/>
          <w:sz w:val="20"/>
          <w:szCs w:val="20"/>
        </w:rPr>
      </w:pPr>
      <w:r w:rsidRPr="002B33CE">
        <w:rPr>
          <w:rFonts w:ascii="Georgia" w:eastAsia="Times New Roman" w:hAnsi="Georgia" w:cs="Times New Roman"/>
          <w:color w:val="000000" w:themeColor="text1"/>
          <w:sz w:val="20"/>
          <w:szCs w:val="20"/>
        </w:rPr>
        <w:t>In general, creative thinking correlates with critical thinking, and problem solving. These skills are very much needed and are one of the skills that are the target of 21st century education.</w:t>
      </w:r>
      <w:r w:rsidRPr="002B33CE">
        <w:rPr>
          <w:rFonts w:ascii="Georgia" w:eastAsia="Times New Roman" w:hAnsi="Georgia" w:cs="Times New Roman"/>
          <w:color w:val="000000" w:themeColor="text1"/>
          <w:sz w:val="20"/>
          <w:szCs w:val="20"/>
          <w:lang w:val="en-US"/>
        </w:rPr>
        <w:t xml:space="preserve"> </w:t>
      </w:r>
      <w:r w:rsidRPr="002B33CE">
        <w:rPr>
          <w:rFonts w:ascii="Georgia" w:hAnsi="Georgia" w:cs="Times New Roman"/>
          <w:color w:val="000000" w:themeColor="text1"/>
          <w:sz w:val="20"/>
          <w:szCs w:val="20"/>
        </w:rPr>
        <w:t xml:space="preserve">Sigit's research results </w:t>
      </w:r>
      <w:r w:rsidRPr="002B33CE">
        <w:rPr>
          <w:rStyle w:val="FootnoteReference"/>
          <w:rFonts w:ascii="Georgia" w:hAnsi="Georgia" w:cs="Times New Roman"/>
          <w:color w:val="000000" w:themeColor="text1"/>
          <w:sz w:val="20"/>
          <w:szCs w:val="20"/>
        </w:rPr>
        <w:fldChar w:fldCharType="begin" w:fldLock="1"/>
      </w:r>
      <w:r w:rsidRPr="002B33CE">
        <w:rPr>
          <w:rFonts w:ascii="Georgia" w:hAnsi="Georgia" w:cs="Times New Roman"/>
          <w:color w:val="000000" w:themeColor="text1"/>
          <w:sz w:val="20"/>
          <w:szCs w:val="20"/>
        </w:rPr>
        <w:instrText>ADDIN CSL_CITATION {"citationItems":[{"id":"ITEM-1","itemData":{"author":[{"dropping-particle":"","family":"Sigit","given":"Diana","non-dropping-particle":"","parse-names":false,"suffix":""},{"dropping-particle":"","family":"Heryanti","given":"Erna","non-dropping-particle":"","parse-names":false,"suffix":""},{"dropping-particle":"","family":"Pangestika","given":"Dyah","non-dropping-particle":"","parse-names":false,"suffix":""},{"dropping-particle":"","family":"Ichsan","given":"Ilmi","non-dropping-particle":"","parse-names":false,"suffix":""}],"id":"ITEM-1","issued":{"date-parts":[["2019","1","10"]]},"page":"6-12","title":"Pembelajaran Lingkungan bagi Siswa: Hubungan Kemampuan Berpikir Kreatif dengan Kemampuan Pemecahan Masalah","type":"article-journal","volume":"4"},"uris":["http://www.mendeley.com/documents/?uuid=38246922-5b7c-425c-9ffd-108a65dbe766"]}],"mendeley":{"formattedCitation":"(Sigit et al., 2019)","plainTextFormattedCitation":"(Sigit et al., 2019)","previouslyFormattedCitation":"(Sigit et al., 2019)"},"properties":{"noteIndex":0},"schema":"https://github.com/citation-style-language/schema/raw/master/csl-citation.json"}</w:instrText>
      </w:r>
      <w:r w:rsidRPr="002B33CE">
        <w:rPr>
          <w:rStyle w:val="FootnoteReference"/>
          <w:rFonts w:ascii="Georgia" w:hAnsi="Georgia" w:cs="Times New Roman"/>
          <w:color w:val="000000" w:themeColor="text1"/>
          <w:sz w:val="20"/>
          <w:szCs w:val="20"/>
        </w:rPr>
        <w:fldChar w:fldCharType="separate"/>
      </w:r>
      <w:r w:rsidRPr="002B33CE">
        <w:rPr>
          <w:rFonts w:ascii="Georgia" w:hAnsi="Georgia" w:cs="Times New Roman"/>
          <w:bCs/>
          <w:noProof/>
          <w:color w:val="000000" w:themeColor="text1"/>
          <w:sz w:val="20"/>
          <w:szCs w:val="20"/>
          <w:lang w:val="en-US"/>
        </w:rPr>
        <w:t>(Sigit et al., 2019)</w:t>
      </w:r>
      <w:r w:rsidRPr="002B33CE">
        <w:rPr>
          <w:rStyle w:val="FootnoteReference"/>
          <w:rFonts w:ascii="Georgia" w:hAnsi="Georgia" w:cs="Times New Roman"/>
          <w:color w:val="000000" w:themeColor="text1"/>
          <w:sz w:val="20"/>
          <w:szCs w:val="20"/>
        </w:rPr>
        <w:fldChar w:fldCharType="end"/>
      </w:r>
      <w:r w:rsidRPr="002B33CE">
        <w:rPr>
          <w:rFonts w:ascii="Georgia" w:hAnsi="Georgia" w:cs="Times New Roman"/>
          <w:color w:val="000000" w:themeColor="text1"/>
          <w:sz w:val="20"/>
          <w:szCs w:val="20"/>
        </w:rPr>
        <w:t xml:space="preserve"> show that students' creative thinking skills contribute 68% to their problem-solving abilities. According to Nozari </w:t>
      </w:r>
      <w:r w:rsidRPr="002B33CE">
        <w:rPr>
          <w:rStyle w:val="FootnoteReference"/>
          <w:rFonts w:ascii="Georgia" w:hAnsi="Georgia" w:cs="Times New Roman"/>
          <w:color w:val="000000" w:themeColor="text1"/>
          <w:sz w:val="20"/>
          <w:szCs w:val="20"/>
        </w:rPr>
        <w:fldChar w:fldCharType="begin" w:fldLock="1"/>
      </w:r>
      <w:r w:rsidRPr="002B33CE">
        <w:rPr>
          <w:rFonts w:ascii="Georgia" w:hAnsi="Georgia" w:cs="Times New Roman"/>
          <w:color w:val="000000" w:themeColor="text1"/>
          <w:sz w:val="20"/>
          <w:szCs w:val="20"/>
        </w:rPr>
        <w:instrText>ADDIN CSL_CITATION {"citationItems":[{"id":"ITEM-1","itemData":{"DOI":"10.5455/msm.2014.26.360-363","ISSN":"1512-7680","abstract":"INTRODUCTION: Nowadays, regarding the learners' needs and social conditions, it is obviously needed to revise and reconsider the traditional methods and approaches in teaching. The problem solving approach is one of the new ways in Teaching and learning process. This study aimed at studying and examining the effect of \"problem-solving\" approach on creative thinking of high school female students., METHODS: An experimental method is used for this research. In this research, 342 out of 3047 female-students from Sari high schools were randomly selected. These 342 students were divided into two groups (experimental and control) in which there were seven classrooms. The total number of students in every group was about 171. After testing them with Jamal Abedi creativity test, it was revealed that two groups were equal in creativity score. The tests were done through Requirements. The experimental group was taught by problem solving method for three months while the control group was taught by traditional method., RESULTS: The research results showed that using descriptive indices and t-test for the two independent sample groups in which problem solving teaching method was used in teaching processes had an effect on creativity level in comparison with traditional method used in the control group., CONCLUSION: Considering the results of this study, the application of problem-solving teaching methods increased the creativity and its components (fluidity, expansion, originality and flexibility) in learners, therefore, it is recommended that students be encouraged to take classes on frequent responses on various topics (variability) and draw attention on different issues, and expand their analysis on elements in particular courses like art (expansion). To enhance the learner's mental flexibility and attention to various aspects, they are encouraged to provide a variety of responses.","author":[{"dropping-particle":"","family":"Nozari","given":"Ali","non-dropping-particle":"","parse-names":false,"suffix":""},{"dropping-particle":"","family":"Siamian","given":"Hasan","non-dropping-particle":"","parse-names":false,"suffix":""}],"container-title":"Materia Socio Medica","id":"ITEM-1","issue":"6","issued":{"date-parts":[["2014"]]},"page":"360","title":"The Effects of Problem-Solving Teaching on Creative Thinking among District 2 High School Students in Sari City","type":"article-journal","volume":"26"},"uris":["http://www.mendeley.com/documents/?uuid=053c371e-ef74-4281-9479-2fe6b513ab6f"]}],"mendeley":{"formattedCitation":"(Nozari &amp; Siamian, 2014)","plainTextFormattedCitation":"(Nozari &amp; Siamian, 2014)","previouslyFormattedCitation":"(Nozari &amp; Siamian, 2014)"},"properties":{"noteIndex":0},"schema":"https://github.com/citation-style-language/schema/raw/master/csl-citation.json"}</w:instrText>
      </w:r>
      <w:r w:rsidRPr="002B33CE">
        <w:rPr>
          <w:rStyle w:val="FootnoteReference"/>
          <w:rFonts w:ascii="Georgia" w:hAnsi="Georgia" w:cs="Times New Roman"/>
          <w:color w:val="000000" w:themeColor="text1"/>
          <w:sz w:val="20"/>
          <w:szCs w:val="20"/>
        </w:rPr>
        <w:fldChar w:fldCharType="separate"/>
      </w:r>
      <w:r w:rsidRPr="002B33CE">
        <w:rPr>
          <w:rFonts w:ascii="Georgia" w:hAnsi="Georgia" w:cs="Times New Roman"/>
          <w:bCs/>
          <w:noProof/>
          <w:color w:val="000000" w:themeColor="text1"/>
          <w:sz w:val="20"/>
          <w:szCs w:val="20"/>
          <w:lang w:val="en-US"/>
        </w:rPr>
        <w:t>(Nozari &amp; Siamian, 2014)</w:t>
      </w:r>
      <w:r w:rsidRPr="002B33CE">
        <w:rPr>
          <w:rStyle w:val="FootnoteReference"/>
          <w:rFonts w:ascii="Georgia" w:hAnsi="Georgia" w:cs="Times New Roman"/>
          <w:color w:val="000000" w:themeColor="text1"/>
          <w:sz w:val="20"/>
          <w:szCs w:val="20"/>
        </w:rPr>
        <w:fldChar w:fldCharType="end"/>
      </w:r>
      <w:r w:rsidRPr="002B33CE">
        <w:rPr>
          <w:rFonts w:ascii="Georgia" w:hAnsi="Georgia" w:cs="Times New Roman"/>
          <w:color w:val="000000" w:themeColor="text1"/>
          <w:sz w:val="20"/>
          <w:szCs w:val="20"/>
        </w:rPr>
        <w:t>, the use of problem solving methods in the learning process affects the level of creativity compared to traditional methods.</w:t>
      </w:r>
    </w:p>
    <w:p w14:paraId="2ED37665"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ab/>
        <w:t xml:space="preserve">Indonesia's creativity is among the lowest ranks compared to other countries in the world. The 2015 Global Creativity Index (GCI) ranked Indonesia at 115 out of 139 countries. A fact that is very important for us to respond to because it relates to the integrity of the nation among other countries. This ability can be possessed by a child by providing him with experience and direction in learning at school. For example, how to deal with environmental problems in the school environment contextually, namely the concept of learning that helps teachers link the material they teach with students' real-world situations and encourages students to make connections between knowledge it has with its application in their daily life. This learning involves seven main components of effective learning, namely: constructivism, questioning, inquiry, the learning community, modeling, reflection and authentic assessment. </w:t>
      </w:r>
      <w:r w:rsidRPr="002B33CE">
        <w:rPr>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{"citationItems":[{"id":"ITEM-1","itemData":{"author":[{"dropping-particle":"","family":"Depdiknas","given":"","non-dropping-particle":"","parse-names":false,"suffix":""}],"id":"ITEM-1","issued":{"date-parts":[["2003"]]},"publisher":"Direktorat Sekolah Lanjutan Pertama DIKDASMEN","publisher-place":"Jakarta","title":"Pembelajaran dan Pengajaran Kontekstual","type":"book"},"uris":["http://www.mendeley.com/documents/?uuid=e3290756-5864-4e9b-8d3a-2fab7a0f0f4f"]}],"mendeley":{"formattedCitation":"(Depdiknas, 2003)","plainTextFormattedCitation":"(Depdiknas, 2003)","previouslyFormattedCitation":"(Depdiknas, 2003)"},"properties":{"noteIndex":0},"schema":"https://github.com/citation-style-language/schema/raw/master/csl-citation.json"}</w:instrText>
      </w:r>
      <w:r w:rsidRPr="002B33CE">
        <w:rPr>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(Depdiknas, 2003)</w:t>
      </w:r>
      <w:r w:rsidRPr="002B33CE">
        <w:rPr>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The ability to think creatively requires a method that provides a climate for the emergence of ideas with interesting challenges in both the home and school environment. </w:t>
      </w:r>
      <w:r w:rsidRPr="002B33CE">
        <w:rPr>
          <w:rFonts w:ascii="Georgia" w:hAnsi="Georgia" w:cs="Times New Roman"/>
          <w:color w:val="000000" w:themeColor="text1"/>
          <w:sz w:val="20"/>
          <w:szCs w:val="20"/>
        </w:rPr>
        <w:t>Many researches on creative thinking are associated with level of learning ability</w:t>
      </w:r>
      <w:r w:rsidRPr="002B33CE">
        <w:rPr>
          <w:rFonts w:ascii="Georgia" w:hAnsi="Georgia" w:cs="Times New Roman"/>
          <w:color w:val="000000" w:themeColor="text1"/>
          <w:sz w:val="20"/>
          <w:szCs w:val="20"/>
          <w:lang w:val="en-US"/>
        </w:rPr>
        <w:t xml:space="preserve"> </w:t>
      </w:r>
      <w:r w:rsidRPr="002B33CE">
        <w:rPr>
          <w:rFonts w:ascii="Georgia" w:hAnsi="Georgia" w:cs="Times New Roman"/>
          <w:color w:val="000000" w:themeColor="text1"/>
          <w:sz w:val="20"/>
          <w:szCs w:val="20"/>
          <w:lang w:val="en-US"/>
        </w:rPr>
        <w:fldChar w:fldCharType="begin" w:fldLock="1"/>
      </w:r>
      <w:r w:rsidRPr="002B33CE">
        <w:rPr>
          <w:rFonts w:ascii="Georgia" w:hAnsi="Georgia" w:cs="Times New Roman"/>
          <w:color w:val="000000" w:themeColor="text1"/>
          <w:sz w:val="20"/>
          <w:szCs w:val="20"/>
          <w:lang w:val="en-US"/>
        </w:rPr>
        <w:instrText>ADDIN CSL_CITATION {"citationItems":[{"id":"ITEM-1","itemData":{"author":[{"dropping-particle":"","family":"Rahayu","given":"Effendi","non-dropping-particle":"","parse-names":false,"suffix":""},{"dropping-particle":"","family":"Susanto","given":"H","non-dropping-particle":"","parse-names":false,"suffix":""},{"dropping-particle":"","family":"Yulianti","given":"D","non-dropping-particle":"","parse-names":false,"suffix":""}],"container-title":"Jurnal Pendidikan Fisika Indonesia","id":"ITEM-1","issue":"2","issued":{"date-parts":[["2011"]]},"title":"Pembelajaran Sains dengan Pendekatan Keterampilan Proses untuk Meningkatkan Hasil Belajar dan Kemampuan Berpikir Kreatif Siswa","type":"article-journal","volume":"7"},"uris":["http://www.mendeley.com/documents/?uuid=421cbdd9-f6c4-443c-b29a-600d58eaabc6"]},{"id":"ITEM-2","itemData":{"abstract":"Creative thinking ability is the individual imagination to solve problems. Low creative thinking ability causes students find difficulties in resolving problems faced in learning. Guided inquiry combined with brainstorming is an alternative solution to improve creative thinking ability, give students freedom to think to solve the problem. Creative thinking ability developed consists of fluency, flexibility, originality and elaboration. The purpose of this research was to improve creative thinking ability of students through guided inquiry combined with brainstorming on water pollution material. This research was a classroom action research, held in May 2016. The subjects were students of class X private high school in Karanganyar, with total of 41 students. The research data were obtained through observation, interviews, documentation, and testing. The main data source of creative thinking was from the result of test which was compiled based on aspects of creative thinking by Munandar. The validity of the data was confirmed through triangulation techniques. The data analysis was done through descriptive analysis techniques. The increase of fluency, flexibility, elaboration, and originality aspect was 10.3%, 8.6%, 11.87% and 14.4%, respectively. Conclusion of the research is that there was an increased creative thinking ability from pre-cycle to the first cycle in the form of an improvement category from less creative to quite creative category. Evaluation study shows that the use of guided inquiry combined with brainstorming effectively improved the ability to creative thinking.","author":[{"dropping-particle":"","family":"Amtiningsih","given":"Septi","non-dropping-particle":"","parse-names":false,"suffix":""},{"dropping-particle":"","family":"Dwiastuti","given":"Sri","non-dropping-particle":"","parse-names":false,"suffix":""},{"dropping-particle":"","family":"Puspita Sari","given":"Dewi","non-dropping-particle":"","parse-names":false,"suffix":""}],"container-title":"Proceeding Biology Education Conference","id":"ITEM-2","issue":"1","issued":{"date-parts":[["2016"]]},"page":"868-872","title":"Peningkatan Kemampuan Berpikir Kreatif melalui Penerapan Guided Inquiry dipadu Brainstorming pada Materi Pencemaran Air Improving Creative Thinking Ability through Guided Inquiry Combined Brainstorming Application in Material of Water Pollution","type":"article-journal","volume":"13"},"uris":["http://www.mendeley.com/documents/?uuid=c3ff56a0-a322-4ed1-8b19-f44b54fa3d8a"]},{"id":"ITEM-3","itemData":{"author":[{"dropping-particle":"","family":"Astuti","given":"MD","non-dropping-particle":"","parse-names":false,"suffix":""},{"dropping-particle":"","family":"Fadiawati","given":"N Saputra","non-dropping-particle":"","parse-names":false,"suffix":""}],"container-title":"Jurnal Pendidikan dan Pembelajaran Kimia (JPPK)","id":"ITEM-3","issue":"2","issued":{"date-parts":[["2019"]]},"title":"No Title","type":"article-journal","volume":"18"},"uris":["http://www.mendeley.com/documents/?uuid=2377e02d-3e09-4509-aa8a-f951f38dfb22"]}],"mendeley":{"formattedCitation":"(Amtiningsih et al., 2016; Astuti &amp; Fadiawati, 2019; Rahayu et al., 2011)","plainTextFormattedCitation":"(Amtiningsih et al., 2016; Astuti &amp; Fadiawati, 2019; Rahayu et al., 2011)","previouslyFormattedCitation":"(Amtiningsih et al., 2016; Astuti &amp; Fadiawati, 2019; Rahayu et al., 2011)"},"properties":{"noteIndex":0},"schema":"https://github.com/citation-style-language/schema/raw/master/csl-citation.json"}</w:instrText>
      </w:r>
      <w:r w:rsidRPr="002B33CE">
        <w:rPr>
          <w:rFonts w:ascii="Georgia" w:hAnsi="Georgia" w:cs="Times New Roman"/>
          <w:color w:val="000000" w:themeColor="text1"/>
          <w:sz w:val="20"/>
          <w:szCs w:val="20"/>
          <w:lang w:val="en-US"/>
        </w:rPr>
        <w:fldChar w:fldCharType="separate"/>
      </w:r>
      <w:r w:rsidRPr="002B33CE">
        <w:rPr>
          <w:rFonts w:ascii="Georgia" w:hAnsi="Georgia" w:cs="Times New Roman"/>
          <w:noProof/>
          <w:color w:val="000000" w:themeColor="text1"/>
          <w:sz w:val="20"/>
          <w:szCs w:val="20"/>
          <w:lang w:val="en-US"/>
        </w:rPr>
        <w:t>(Amtiningsih et al., 2016; Astuti &amp; Fadiawati, 2019; Rahayu et al., 2011)</w:t>
      </w:r>
      <w:r w:rsidRPr="002B33CE">
        <w:rPr>
          <w:rFonts w:ascii="Georgia" w:hAnsi="Georgia" w:cs="Times New Roman"/>
          <w:color w:val="000000" w:themeColor="text1"/>
          <w:sz w:val="20"/>
          <w:szCs w:val="20"/>
          <w:lang w:val="en-US"/>
        </w:rPr>
        <w:fldChar w:fldCharType="end"/>
      </w:r>
      <w:r w:rsidRPr="002B33CE">
        <w:rPr>
          <w:rFonts w:ascii="Georgia" w:hAnsi="Georgia" w:cs="Times New Roman"/>
          <w:color w:val="000000" w:themeColor="text1"/>
          <w:sz w:val="20"/>
          <w:szCs w:val="20"/>
        </w:rPr>
        <w:t xml:space="preserve"> It still needs to be further observation how the creative thinking ability in solving life problems, especially the environment around students.  According to Daskolia </w:t>
      </w:r>
      <w:r w:rsidRPr="002B33CE">
        <w:rPr>
          <w:rStyle w:val="FootnoteReference"/>
          <w:rFonts w:ascii="Georgia" w:hAnsi="Georgia" w:cs="Times New Roman"/>
          <w:color w:val="000000" w:themeColor="text1"/>
          <w:sz w:val="20"/>
          <w:szCs w:val="20"/>
        </w:rPr>
        <w:fldChar w:fldCharType="begin" w:fldLock="1"/>
      </w:r>
      <w:r w:rsidRPr="002B33CE">
        <w:rPr>
          <w:rFonts w:ascii="Georgia" w:hAnsi="Georgia" w:cs="Times New Roman"/>
          <w:color w:val="000000" w:themeColor="text1"/>
          <w:sz w:val="20"/>
          <w:szCs w:val="20"/>
        </w:rPr>
        <w:instrText>ADDIN CSL_CITATION {"citationItems":[{"id":"ITEM-1","itemData":{"ISSN":"13063065","abstract":"Creative thinking in Environmental Education (EE) remains greatly under researched topic. Research on teachers' conceptions of creative thinking within EE context is also limited, although their role in facilitating creative thinking in students is well documented. The small-scale qualitative study presented here investigates Greek secondary teach-ers' conceptions of creative thinking in EE. Empirical data were collected based on non-structured interviews with 20 secondary teachers with diverse backgrounds and subject expertise. Among the findings of the study is that participants view creative thinking as a thinking process that can or should be enhanced within the context of EE. All four key components identified in the literature in definitions of creativity - process, person, product, and context - are present in participants' conceptualizations, with the most prevalent being that of process. Teachers conceptualize creative thinking as an inherent component of environmental problem-solving; they claim that EE pedagogy offers a favourable environment within which it can be nurtured; and they attribute ethical dimensions to it by pairing creativity with social and ecological responsibility. The participants' frames of thinking about creativity support the views of scholars who emphasize the links between EE and creative thinking and connections with broader theoretical approaches that currently dominate research on creativity. The study provides a starting point for further research on creative thinking within the context of EE. © 2012 IJESE.","author":[{"dropping-particle":"","family":"Daskolia","given":"Maria","non-dropping-particle":"","parse-names":false,"suffix":""},{"dropping-particle":"","family":"Dimos","given":"Athanasios","non-dropping-particle":"","parse-names":false,"suffix":""},{"dropping-particle":"","family":"Kampylis","given":"Panagiotis G.","non-dropping-particle":"","parse-names":false,"suffix":""}],"container-title":"International Journal of Environmental and Science Education","id":"ITEM-1","issue":"2","issued":{"date-parts":[["2012"]]},"page":"269-290","title":"Secondary teachers' conceptions of creative thinking within the context of environmental education","type":"article-journal","volume":"7"},"uris":["http://www.mendeley.com/documents/?uuid=7d08e8e3-f2f3-4c65-aeeb-37fdda0d0591"]}],"mendeley":{"formattedCitation":"(Daskolia et al., 2012)","plainTextFormattedCitation":"(Daskolia et al., 2012)","previouslyFormattedCitation":"(Daskolia et al., 2012)"},"properties":{"noteIndex":0},"schema":"https://github.com/citation-style-language/schema/raw/master/csl-citation.json"}</w:instrText>
      </w:r>
      <w:r w:rsidRPr="002B33CE">
        <w:rPr>
          <w:rStyle w:val="FootnoteReference"/>
          <w:rFonts w:ascii="Georgia" w:hAnsi="Georgia" w:cs="Times New Roman"/>
          <w:color w:val="000000" w:themeColor="text1"/>
          <w:sz w:val="20"/>
          <w:szCs w:val="20"/>
        </w:rPr>
        <w:fldChar w:fldCharType="separate"/>
      </w:r>
      <w:r w:rsidRPr="002B33CE">
        <w:rPr>
          <w:rFonts w:ascii="Georgia" w:hAnsi="Georgia" w:cs="Times New Roman"/>
          <w:bCs/>
          <w:noProof/>
          <w:color w:val="000000" w:themeColor="text1"/>
          <w:sz w:val="20"/>
          <w:szCs w:val="20"/>
          <w:lang w:val="en-US"/>
        </w:rPr>
        <w:t>(Daskolia et al., 2012)</w:t>
      </w:r>
      <w:r w:rsidRPr="002B33CE">
        <w:rPr>
          <w:rStyle w:val="FootnoteReference"/>
          <w:rFonts w:ascii="Georgia" w:hAnsi="Georgia" w:cs="Times New Roman"/>
          <w:color w:val="000000" w:themeColor="text1"/>
          <w:sz w:val="20"/>
          <w:szCs w:val="20"/>
        </w:rPr>
        <w:fldChar w:fldCharType="end"/>
      </w:r>
      <w:r w:rsidRPr="002B33CE">
        <w:rPr>
          <w:rFonts w:ascii="Georgia" w:hAnsi="Georgia" w:cs="Times New Roman"/>
          <w:color w:val="000000" w:themeColor="text1"/>
          <w:sz w:val="20"/>
          <w:szCs w:val="20"/>
        </w:rPr>
        <w:t xml:space="preserve"> who has identified an important relationship between creative thinking and environmental education, there needs to be a more thorough and in-depth theoretical exploration of the topic. The ability to think creatively in environmental education through the formation of problem-solving abilities is very beneficial in responding problems that arise in the environment.</w:t>
      </w:r>
      <w:r w:rsidRPr="002B33CE">
        <w:rPr>
          <w:rFonts w:ascii="Georgia" w:eastAsia="Times New Roman" w:hAnsi="Georgia" w:cs="Times New Roman"/>
          <w:color w:val="000000" w:themeColor="text1"/>
          <w:sz w:val="20"/>
          <w:szCs w:val="20"/>
        </w:rPr>
        <w:t>In the school environment, students are given an atmosphere of natural learning process by working and experiencing it firsthand. Students are conditioned to understand the meaning of learning, find ways to achieve and feel the benefits of learning activities. Learning in schools should be a preparation for real-life learning by focusing on practical skills and relevant topics. Authentic learning can include teaching techniques, student learning outcomes, and affective learning that students can develop towards their learning. </w:t>
      </w:r>
    </w:p>
    <w:p w14:paraId="0171C70E"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Based on the concepts described above, it is necessary to know the critical thinking profile of students and analyze the factors that influence it in order to develop creative thinking skills through intervention in the form of various approaches in learning activities. </w:t>
      </w:r>
    </w:p>
    <w:p w14:paraId="21CDB900" w14:textId="49CB5EB8" w:rsidR="001A43E8" w:rsidRPr="002B33CE" w:rsidRDefault="001A43E8" w:rsidP="00B24C2D">
      <w:pPr>
        <w:spacing w:after="0" w:line="240" w:lineRule="auto"/>
        <w:ind w:firstLine="567"/>
        <w:jc w:val="both"/>
        <w:rPr>
          <w:rFonts w:ascii="Georgia" w:eastAsia="Arial" w:hAnsi="Georgia" w:cs="Times New Roman"/>
          <w:color w:val="000000" w:themeColor="text1"/>
          <w:sz w:val="20"/>
          <w:szCs w:val="20"/>
          <w:lang w:val="en-US" w:eastAsia="en-US"/>
        </w:rPr>
      </w:pPr>
    </w:p>
    <w:p w14:paraId="341AF9EE" w14:textId="3A83FE16" w:rsidR="00191E4B" w:rsidRPr="002B33CE" w:rsidRDefault="00F70FF8" w:rsidP="00B24C2D">
      <w:pPr>
        <w:spacing w:after="0" w:line="360" w:lineRule="auto"/>
        <w:jc w:val="both"/>
        <w:rPr>
          <w:rFonts w:ascii="Georgia" w:eastAsia="Arial" w:hAnsi="Georgia" w:cs="Times New Roman"/>
          <w:b/>
          <w:color w:val="000000" w:themeColor="text1"/>
        </w:rPr>
      </w:pPr>
      <w:r w:rsidRPr="002B33CE">
        <w:rPr>
          <w:rFonts w:ascii="Georgia" w:eastAsia="Arial" w:hAnsi="Georgia" w:cs="Times New Roman"/>
          <w:b/>
          <w:color w:val="000000" w:themeColor="text1"/>
        </w:rPr>
        <w:t>METHODS</w:t>
      </w:r>
      <w:r w:rsidR="00191E4B" w:rsidRPr="002B33CE">
        <w:rPr>
          <w:rFonts w:ascii="Georgia" w:eastAsia="Arial" w:hAnsi="Georgia" w:cs="Times New Roman"/>
          <w:b/>
          <w:color w:val="000000" w:themeColor="text1"/>
        </w:rPr>
        <w:t xml:space="preserve"> </w:t>
      </w:r>
    </w:p>
    <w:p w14:paraId="6BD3F7E7" w14:textId="77777777" w:rsidR="00034974" w:rsidRPr="002B33CE" w:rsidRDefault="001C1C20" w:rsidP="00034974">
      <w:pPr>
        <w:spacing w:after="0"/>
        <w:ind w:firstLine="720"/>
        <w:jc w:val="both"/>
        <w:rPr>
          <w:rFonts w:ascii="Georgia" w:eastAsia="Times New Roman" w:hAnsi="Georgia" w:cs="Times New Roman"/>
          <w:color w:val="000000" w:themeColor="text1"/>
          <w:sz w:val="20"/>
          <w:szCs w:val="20"/>
        </w:rPr>
      </w:pPr>
      <w:r w:rsidRPr="002B33CE">
        <w:rPr>
          <w:rFonts w:ascii="Georgia" w:hAnsi="Georgia" w:cs="Times New Roman"/>
          <w:color w:val="000000" w:themeColor="text1"/>
        </w:rPr>
        <w:t xml:space="preserve">        </w:t>
      </w:r>
      <w:r w:rsidR="00034974" w:rsidRPr="002B33CE">
        <w:rPr>
          <w:rFonts w:ascii="Georgia" w:eastAsia="Times New Roman" w:hAnsi="Georgia" w:cs="Times New Roman"/>
          <w:color w:val="000000" w:themeColor="text1"/>
          <w:sz w:val="20"/>
          <w:szCs w:val="20"/>
        </w:rPr>
        <w:t xml:space="preserve">This type of research is descriptive quantitative, to determine what factors are thought to contribute to creative thinking skills in solving environmental problems. This research was conducted at the Uhamka campus in East Jakarta in December 2019-April 2020, </w:t>
      </w:r>
      <w:r w:rsidR="00034974" w:rsidRPr="002B33CE">
        <w:rPr>
          <w:rFonts w:ascii="Georgia" w:hAnsi="Georgia" w:cs="Times New Roman"/>
          <w:color w:val="000000" w:themeColor="text1"/>
          <w:sz w:val="20"/>
          <w:szCs w:val="20"/>
        </w:rPr>
        <w:t xml:space="preserve">Sampling methods is carried out by cluster random sampling </w:t>
      </w:r>
      <w:r w:rsidR="00034974" w:rsidRPr="002B33CE">
        <w:rPr>
          <w:rFonts w:ascii="Georgia" w:eastAsia="Times New Roman" w:hAnsi="Georgia" w:cs="Times New Roman"/>
          <w:color w:val="000000" w:themeColor="text1"/>
          <w:sz w:val="20"/>
          <w:szCs w:val="20"/>
        </w:rPr>
        <w:t>involving 48 Biology Education students in the third semester of class 3A and class 3B. The instrument used was an essay question with a total of 8 questions on the topic of solid waste management. The essay test is prepared based on indicators of students' creative thinking abilities with indicators of fluency, flexibility, originality and elaboration. The creative thinking test instrument grid is used as a reference for researchers in making questions. Before the instrument is used, it is first tested for validity and reliability by an expert, then tested statistically. </w:t>
      </w:r>
    </w:p>
    <w:p w14:paraId="3DDA5261"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Analysis Analysis of students' creative thinking skills was carried out by processing quantitative data in the form of creative thinking abilitiy test and questionnaire of factors that influenced creative thinking abilities. </w:t>
      </w:r>
      <w:r w:rsidRPr="002B33CE">
        <w:rPr>
          <w:rFonts w:ascii="Georgia" w:eastAsia="Times New Roman" w:hAnsi="Georgia" w:cs="Times New Roman"/>
          <w:color w:val="000000" w:themeColor="text1"/>
          <w:sz w:val="20"/>
          <w:szCs w:val="20"/>
        </w:rPr>
        <w:lastRenderedPageBreak/>
        <w:t xml:space="preserve">Quantitative data were obtained from students' scores in answering questions on creative thinking skills and the factors involved. The score obtained from each indicator is calculated and converted into a percentage as the final score of the students. Based on calculations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{"citationItems":[{"id":"ITEM-1","itemData":{"author":[{"dropping-particle":"","family":"Purwanto","given":"N","non-dropping-particle":"","parse-names":false,"suffix":""}],"id":"ITEM-1","issued":{"date-parts":[["2013"]]},"publisher":"PT Remaja Rosdakarya","publisher-place":"Bandung","title":"Prinsip-Prinsip dan Teknik Evaluasi Pengajaran","type":"book"},"uris":["http://www.mendeley.com/documents/?uuid=202ee31b-be24-40c1-88d9-fe19a9595719"]}],"mendeley":{"formattedCitation":"(Purwanto, 2013)","plainTextFormattedCitation":"(Purwanto, 2013)","previouslyFormattedCitation":"(Purwanto, 2013)"},"properties":{"noteIndex":0},"schema":"https://github.com/citation-style-language/schema/raw/master/csl-citation.json"}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(Purwanto, 2013)</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this calculation is also called percentages correction, with the formula:</w:t>
      </w:r>
    </w:p>
    <w:p w14:paraId="7B9717A5"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6E730EEC" w14:textId="1AE964FC"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noProof/>
          <w:color w:val="000000" w:themeColor="text1"/>
          <w:sz w:val="20"/>
          <w:szCs w:val="20"/>
        </w:rPr>
        <mc:AlternateContent>
          <mc:Choice Requires="wps">
            <w:drawing>
              <wp:anchor distT="0" distB="0" distL="114300" distR="114300" simplePos="0" relativeHeight="251659264" behindDoc="0" locked="0" layoutInCell="1" allowOverlap="1" wp14:anchorId="06D3D7C4" wp14:editId="5083BFA7">
                <wp:simplePos x="0" y="0"/>
                <wp:positionH relativeFrom="column">
                  <wp:posOffset>299818</wp:posOffset>
                </wp:positionH>
                <wp:positionV relativeFrom="paragraph">
                  <wp:posOffset>156894</wp:posOffset>
                </wp:positionV>
                <wp:extent cx="140677" cy="0"/>
                <wp:effectExtent l="0" t="0" r="12065" b="12700"/>
                <wp:wrapNone/>
                <wp:docPr id="2" name="Straight Connector 2"/>
                <wp:cNvGraphicFramePr/>
                <a:graphic xmlns:a="http://schemas.openxmlformats.org/drawingml/2006/main">
                  <a:graphicData uri="http://schemas.microsoft.com/office/word/2010/wordprocessingShape">
                    <wps:wsp>
                      <wps:cNvCnPr/>
                      <wps:spPr>
                        <a:xfrm>
                          <a:off x="0" y="0"/>
                          <a:ext cx="14067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AC8A55"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6pt,12.35pt" to="34.7pt,12.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" strokecolor="black [3040]"/>
            </w:pict>
          </mc:Fallback>
        </mc:AlternateContent>
      </w:r>
      <w:r w:rsidRPr="002B33CE">
        <w:rPr>
          <w:rFonts w:ascii="Georgia" w:eastAsia="Times New Roman" w:hAnsi="Georgia" w:cs="Times New Roman"/>
          <w:color w:val="000000" w:themeColor="text1"/>
          <w:sz w:val="20"/>
          <w:szCs w:val="20"/>
        </w:rPr>
        <w:t>NP = R x 100%</w:t>
      </w:r>
    </w:p>
    <w:p w14:paraId="4F1068D9" w14:textId="695C5616"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SM</w:t>
      </w:r>
    </w:p>
    <w:p w14:paraId="43932313"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7EB56C5C"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Description:</w:t>
      </w:r>
    </w:p>
    <w:p w14:paraId="110B0B2C"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NP  : The percent value sought or expected </w:t>
      </w:r>
    </w:p>
    <w:p w14:paraId="6FB8534D"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R    : The raw score obtained bystudents </w:t>
      </w:r>
    </w:p>
    <w:p w14:paraId="0D609348" w14:textId="77777777" w:rsidR="00034974" w:rsidRPr="002B33CE" w:rsidRDefault="00034974" w:rsidP="00034974">
      <w:pPr>
        <w:spacing w:after="0"/>
        <w:ind w:left="567" w:hanging="567"/>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SM  : The ideal maximum score from the test concerned </w:t>
      </w:r>
    </w:p>
    <w:p w14:paraId="4CFEF09F"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100 :  Fixed number </w:t>
      </w:r>
    </w:p>
    <w:p w14:paraId="6B61D7D4" w14:textId="77777777" w:rsidR="00034974" w:rsidRPr="002B33CE" w:rsidRDefault="00034974" w:rsidP="00034974">
      <w:pPr>
        <w:spacing w:before="240" w:after="24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bCs/>
          <w:color w:val="000000" w:themeColor="text1"/>
          <w:sz w:val="20"/>
          <w:szCs w:val="20"/>
        </w:rPr>
        <w:t>Analysis of the factors that are thought to affect creative thinking skills using independent t-test and Mann Withney U-test.</w:t>
      </w:r>
    </w:p>
    <w:p w14:paraId="02E04F0F" w14:textId="3F925502" w:rsidR="001C1C20" w:rsidRPr="002B33CE" w:rsidRDefault="001C1C20" w:rsidP="001C1C20">
      <w:pPr>
        <w:spacing w:after="0"/>
        <w:jc w:val="both"/>
        <w:rPr>
          <w:rFonts w:ascii="Georgia" w:eastAsia="Arial" w:hAnsi="Georgia" w:cs="Times New Roman"/>
          <w:b/>
          <w:color w:val="000000" w:themeColor="text1"/>
          <w:spacing w:val="-1"/>
          <w:lang w:val="en-US"/>
        </w:rPr>
      </w:pPr>
    </w:p>
    <w:p w14:paraId="79E402D1" w14:textId="165F83D4" w:rsidR="00F70FF8" w:rsidRPr="002B33CE" w:rsidRDefault="001C1C20" w:rsidP="00B24C2D">
      <w:pPr>
        <w:spacing w:after="0" w:line="360" w:lineRule="auto"/>
        <w:jc w:val="both"/>
        <w:rPr>
          <w:rFonts w:ascii="Georgia" w:eastAsia="Arial" w:hAnsi="Georgia" w:cs="Times New Roman"/>
          <w:b/>
          <w:color w:val="000000" w:themeColor="text1"/>
          <w:lang w:val="en-US"/>
        </w:rPr>
      </w:pPr>
      <w:proofErr w:type="gramStart"/>
      <w:r w:rsidRPr="002B33CE">
        <w:rPr>
          <w:rFonts w:ascii="Georgia" w:eastAsia="Arial" w:hAnsi="Georgia" w:cs="Times New Roman"/>
          <w:b/>
          <w:color w:val="000000" w:themeColor="text1"/>
          <w:lang w:val="en-US"/>
        </w:rPr>
        <w:t xml:space="preserve">FINDINGS </w:t>
      </w:r>
      <w:r w:rsidR="00F70FF8" w:rsidRPr="002B33CE">
        <w:rPr>
          <w:rFonts w:ascii="Georgia" w:eastAsia="Arial" w:hAnsi="Georgia" w:cs="Times New Roman"/>
          <w:b/>
          <w:color w:val="000000" w:themeColor="text1"/>
        </w:rPr>
        <w:t xml:space="preserve"> AND</w:t>
      </w:r>
      <w:proofErr w:type="gramEnd"/>
      <w:r w:rsidR="00F70FF8" w:rsidRPr="002B33CE">
        <w:rPr>
          <w:rFonts w:ascii="Georgia" w:eastAsia="Arial" w:hAnsi="Georgia" w:cs="Times New Roman"/>
          <w:b/>
          <w:color w:val="000000" w:themeColor="text1"/>
        </w:rPr>
        <w:t xml:space="preserve"> DISCUSSION</w:t>
      </w:r>
      <w:r w:rsidR="00723B12" w:rsidRPr="002B33CE">
        <w:rPr>
          <w:rFonts w:ascii="Georgia" w:eastAsia="Arial" w:hAnsi="Georgia" w:cs="Times New Roman"/>
          <w:b/>
          <w:color w:val="000000" w:themeColor="text1"/>
          <w:lang w:val="en-US"/>
        </w:rPr>
        <w:t xml:space="preserve"> </w:t>
      </w:r>
    </w:p>
    <w:p w14:paraId="2C560A3A"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Student learning activities in the classroom use a variety of methods provided by lecturers of the courses. The curriculum used in learning activities on campus has already referred to KKNI and learning activities are directed at student activity through various models and approaches. Likewise, learning related to environmental education uses several approaches and methods including problem solving, discussion and field observations. Students have diverse abilities in creative problem solving. In addition, students at the high level of ability are quite able to solve problems in different ways and in quite new ways with their own thoughts.</w:t>
      </w:r>
    </w:p>
    <w:p w14:paraId="7BD30BCA"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ab/>
      </w:r>
    </w:p>
    <w:p w14:paraId="6A78317A"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Based on the results of the creative thinking questions test, the researcher grouped them into two classes, namely the upper class of 24 students and the lower class of 24 students. The highest value of creative thinking skills is 73 and the lowest is 24 with three categories of high, medium and low with the distribution as presented in table 1:</w:t>
      </w:r>
    </w:p>
    <w:p w14:paraId="200F0125"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7AABAA86" w14:textId="77777777" w:rsidR="00034974" w:rsidRPr="002B33CE" w:rsidRDefault="00034974" w:rsidP="00034974">
      <w:pPr>
        <w:spacing w:after="0"/>
        <w:ind w:left="851" w:hanging="851"/>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Table 1. Creative Thinking Ability </w:t>
      </w:r>
    </w:p>
    <w:p w14:paraId="26B9DED4"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noProof/>
          <w:color w:val="000000" w:themeColor="text1"/>
          <w:sz w:val="20"/>
          <w:szCs w:val="20"/>
        </w:rPr>
        <mc:AlternateContent>
          <mc:Choice Requires="wps">
            <w:drawing>
              <wp:anchor distT="0" distB="0" distL="114300" distR="114300" simplePos="0" relativeHeight="251663360" behindDoc="0" locked="0" layoutInCell="1" allowOverlap="1" wp14:anchorId="24745703" wp14:editId="1E3ADF17">
                <wp:simplePos x="0" y="0"/>
                <wp:positionH relativeFrom="column">
                  <wp:posOffset>23495</wp:posOffset>
                </wp:positionH>
                <wp:positionV relativeFrom="paragraph">
                  <wp:posOffset>89535</wp:posOffset>
                </wp:positionV>
                <wp:extent cx="27432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274320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FDEC295" id="Straight Connector 3"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7.05pt" to="217.85pt,7.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" strokecolor="#4a7ebb"/>
            </w:pict>
          </mc:Fallback>
        </mc:AlternateContent>
      </w:r>
    </w:p>
    <w:p w14:paraId="43A62024"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 Number </w:t>
      </w:r>
    </w:p>
    <w:p w14:paraId="572BD699"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of Students          Percentage      Categories</w:t>
      </w:r>
    </w:p>
    <w:p w14:paraId="47D49D66"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noProof/>
          <w:color w:val="000000" w:themeColor="text1"/>
          <w:sz w:val="20"/>
          <w:szCs w:val="20"/>
        </w:rPr>
        <mc:AlternateContent>
          <mc:Choice Requires="wps">
            <w:drawing>
              <wp:anchor distT="0" distB="0" distL="114300" distR="114300" simplePos="0" relativeHeight="251661312" behindDoc="0" locked="0" layoutInCell="1" allowOverlap="1" wp14:anchorId="538D3664" wp14:editId="6B6C8DA4">
                <wp:simplePos x="0" y="0"/>
                <wp:positionH relativeFrom="column">
                  <wp:posOffset>23495</wp:posOffset>
                </wp:positionH>
                <wp:positionV relativeFrom="paragraph">
                  <wp:posOffset>37465</wp:posOffset>
                </wp:positionV>
                <wp:extent cx="274320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743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608E86"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5pt,2.95pt" to="217.85pt,2.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" strokecolor="#4579b8 [3044]"/>
            </w:pict>
          </mc:Fallback>
        </mc:AlternateContent>
      </w:r>
      <w:r w:rsidRPr="002B33CE">
        <w:rPr>
          <w:rFonts w:ascii="Georgia" w:eastAsia="Times New Roman" w:hAnsi="Georgia" w:cs="Times New Roman"/>
          <w:color w:val="000000" w:themeColor="text1"/>
          <w:sz w:val="20"/>
          <w:szCs w:val="20"/>
        </w:rPr>
        <w:t> </w:t>
      </w:r>
    </w:p>
    <w:p w14:paraId="42A72886"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4</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 xml:space="preserve">   8.3%</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 xml:space="preserve"> Low</w:t>
      </w:r>
    </w:p>
    <w:p w14:paraId="21CA67AF"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38</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 xml:space="preserve">   79.2%</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 xml:space="preserve"> Moderate</w:t>
      </w:r>
    </w:p>
    <w:p w14:paraId="6CF87798"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6</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 xml:space="preserve">   12.5%</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 xml:space="preserve"> High</w:t>
      </w:r>
    </w:p>
    <w:p w14:paraId="1310E5F4"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noProof/>
          <w:color w:val="000000" w:themeColor="text1"/>
          <w:sz w:val="20"/>
          <w:szCs w:val="20"/>
        </w:rPr>
        <mc:AlternateContent>
          <mc:Choice Requires="wps">
            <w:drawing>
              <wp:anchor distT="0" distB="0" distL="114300" distR="114300" simplePos="0" relativeHeight="251662336" behindDoc="0" locked="0" layoutInCell="1" allowOverlap="1" wp14:anchorId="3E82BB53" wp14:editId="3859249D">
                <wp:simplePos x="0" y="0"/>
                <wp:positionH relativeFrom="column">
                  <wp:posOffset>23495</wp:posOffset>
                </wp:positionH>
                <wp:positionV relativeFrom="paragraph">
                  <wp:posOffset>78740</wp:posOffset>
                </wp:positionV>
                <wp:extent cx="2743200" cy="10160"/>
                <wp:effectExtent l="0" t="0" r="19050" b="27940"/>
                <wp:wrapNone/>
                <wp:docPr id="5" name="Straight Connector 5"/>
                <wp:cNvGraphicFramePr/>
                <a:graphic xmlns:a="http://schemas.openxmlformats.org/drawingml/2006/main">
                  <a:graphicData uri="http://schemas.microsoft.com/office/word/2010/wordprocessingShape">
                    <wps:wsp>
                      <wps:cNvCnPr/>
                      <wps:spPr>
                        <a:xfrm flipV="1">
                          <a:off x="0" y="0"/>
                          <a:ext cx="2743200" cy="1016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14542228" id="Straight Connector 5" o:spid="_x0000_s1026" style="position:absolute;flip:y;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5pt,6.2pt" to="217.85pt,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" strokecolor="#4a7ebb"/>
            </w:pict>
          </mc:Fallback>
        </mc:AlternateContent>
      </w:r>
    </w:p>
    <w:p w14:paraId="0A526C21"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48</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 xml:space="preserve">  48%</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 xml:space="preserve"> Medium </w:t>
      </w:r>
    </w:p>
    <w:p w14:paraId="170AE118"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noProof/>
          <w:color w:val="000000" w:themeColor="text1"/>
          <w:sz w:val="20"/>
          <w:szCs w:val="20"/>
        </w:rPr>
        <mc:AlternateContent>
          <mc:Choice Requires="wps">
            <w:drawing>
              <wp:anchor distT="0" distB="0" distL="114300" distR="114300" simplePos="0" relativeHeight="251664384" behindDoc="0" locked="0" layoutInCell="1" allowOverlap="1" wp14:anchorId="4EDE5D1F" wp14:editId="43A7500B">
                <wp:simplePos x="0" y="0"/>
                <wp:positionH relativeFrom="column">
                  <wp:posOffset>13970</wp:posOffset>
                </wp:positionH>
                <wp:positionV relativeFrom="paragraph">
                  <wp:posOffset>19685</wp:posOffset>
                </wp:positionV>
                <wp:extent cx="2752725" cy="0"/>
                <wp:effectExtent l="0" t="0" r="9525" b="19050"/>
                <wp:wrapNone/>
                <wp:docPr id="6" name="Straight Connector 6"/>
                <wp:cNvGraphicFramePr/>
                <a:graphic xmlns:a="http://schemas.openxmlformats.org/drawingml/2006/main">
                  <a:graphicData uri="http://schemas.microsoft.com/office/word/2010/wordprocessingShape">
                    <wps:wsp>
                      <wps:cNvCnPr/>
                      <wps:spPr>
                        <a:xfrm>
                          <a:off x="0" y="0"/>
                          <a:ext cx="275272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A272F2D" id="Straight Connector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pt,1.55pt" to="217.85pt,1.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" strokecolor="#4a7ebb"/>
            </w:pict>
          </mc:Fallback>
        </mc:AlternateContent>
      </w:r>
    </w:p>
    <w:p w14:paraId="176A048D"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ab/>
        <w:t>The results showed that most students have the ability to think creatively at a moderate level based on Arikunto's category reference</w:t>
      </w:r>
      <w:r w:rsidRPr="002B33CE">
        <w:rPr>
          <w:rFonts w:ascii="Georgia" w:eastAsia="Times New Roman" w:hAnsi="Georgia" w:cs="Times New Roman"/>
          <w:color w:val="000000" w:themeColor="text1"/>
          <w:sz w:val="20"/>
          <w:szCs w:val="20"/>
          <w:lang w:val="en-US"/>
        </w:rPr>
        <w:t xml:space="preserve"> </w:t>
      </w:r>
      <w:r w:rsidRPr="002B33CE">
        <w:rPr>
          <w:rFonts w:ascii="Georgia" w:eastAsia="Times New Roman" w:hAnsi="Georgia" w:cs="Times New Roman"/>
          <w:color w:val="000000" w:themeColor="text1"/>
          <w:sz w:val="20"/>
          <w:szCs w:val="20"/>
          <w:lang w:val="en-US"/>
        </w:rPr>
        <w:fldChar w:fldCharType="begin" w:fldLock="1"/>
      </w:r>
      <w:r w:rsidRPr="002B33CE">
        <w:rPr>
          <w:rFonts w:ascii="Georgia" w:eastAsia="Times New Roman" w:hAnsi="Georgia" w:cs="Times New Roman"/>
          <w:color w:val="000000" w:themeColor="text1"/>
          <w:sz w:val="20"/>
          <w:szCs w:val="20"/>
          <w:lang w:val="en-US"/>
        </w:rPr>
        <w:instrText>ADDIN CSL_CITATION {"citationItems":[{"id":"ITEM-1","itemData":{"author":[{"dropping-particle":"","family":"Arikunto","given":"Suharsimi","non-dropping-particle":"","parse-names":false,"suffix":""}],"id":"ITEM-1","issued":{"date-parts":[["2007"]]},"publisher":"Rineka Cipta","publisher-place":"Jakarta","title":"Prosedur Penelitian Suatu Pendekatan Praktek","type":"book"},"uris":["http://www.mendeley.com/documents/?uuid=c75cdf0f-9e8f-4342-80c9-f9b53c0fb409"]}],"mendeley":{"formattedCitation":"(Arikunto, 2007)","plainTextFormattedCitation":"(Arikunto, 2007)","previouslyFormattedCitation":"(Arikunto, 2007)"},"properties":{"noteIndex":0},"schema":"https://github.com/citation-style-language/schema/raw/master/csl-citation.json"}</w:instrText>
      </w:r>
      <w:r w:rsidRPr="002B33CE">
        <w:rPr>
          <w:rFonts w:ascii="Georgia" w:eastAsia="Times New Roman" w:hAnsi="Georgia" w:cs="Times New Roman"/>
          <w:color w:val="000000" w:themeColor="text1"/>
          <w:sz w:val="20"/>
          <w:szCs w:val="20"/>
          <w:lang w:val="en-US"/>
        </w:rPr>
        <w:fldChar w:fldCharType="separate"/>
      </w:r>
      <w:r w:rsidRPr="002B33CE">
        <w:rPr>
          <w:rFonts w:ascii="Georgia" w:eastAsia="Times New Roman" w:hAnsi="Georgia" w:cs="Times New Roman"/>
          <w:noProof/>
          <w:color w:val="000000" w:themeColor="text1"/>
          <w:sz w:val="20"/>
          <w:szCs w:val="20"/>
          <w:lang w:val="en-US"/>
        </w:rPr>
        <w:t>(Arikunto, 2007)</w:t>
      </w:r>
      <w:r w:rsidRPr="002B33CE">
        <w:rPr>
          <w:rFonts w:ascii="Georgia" w:eastAsia="Times New Roman" w:hAnsi="Georgia" w:cs="Times New Roman"/>
          <w:color w:val="000000" w:themeColor="text1"/>
          <w:sz w:val="20"/>
          <w:szCs w:val="20"/>
          <w:lang w:val="en-US"/>
        </w:rPr>
        <w:fldChar w:fldCharType="end"/>
      </w:r>
      <w:r w:rsidRPr="002B33CE">
        <w:rPr>
          <w:rFonts w:ascii="Georgia" w:eastAsia="Times New Roman" w:hAnsi="Georgia" w:cs="Times New Roman"/>
          <w:color w:val="000000" w:themeColor="text1"/>
          <w:sz w:val="20"/>
          <w:szCs w:val="20"/>
          <w:lang w:val="en-US"/>
        </w:rPr>
        <w:t xml:space="preserve"> </w:t>
      </w:r>
      <w:r w:rsidRPr="002B33CE">
        <w:rPr>
          <w:rFonts w:ascii="Georgia" w:eastAsia="Times New Roman" w:hAnsi="Georgia" w:cs="Times New Roman"/>
          <w:color w:val="000000" w:themeColor="text1"/>
          <w:sz w:val="20"/>
          <w:szCs w:val="20"/>
        </w:rPr>
        <w:t xml:space="preserve">. Only 12.5% </w:t>
      </w:r>
      <w:r w:rsidRPr="002B33CE">
        <w:rPr>
          <w:rFonts w:ascii="Times New Roman" w:eastAsia="Times New Roman" w:hAnsi="Times New Roman" w:cs="Times New Roman"/>
          <w:color w:val="000000" w:themeColor="text1"/>
          <w:sz w:val="20"/>
          <w:szCs w:val="20"/>
        </w:rPr>
        <w:t>​​</w:t>
      </w:r>
      <w:r w:rsidRPr="002B33CE">
        <w:rPr>
          <w:rFonts w:ascii="Georgia" w:eastAsia="Times New Roman" w:hAnsi="Georgia" w:cs="Times New Roman"/>
          <w:color w:val="000000" w:themeColor="text1"/>
          <w:sz w:val="20"/>
          <w:szCs w:val="20"/>
        </w:rPr>
        <w:t xml:space="preserve">in the high category and 8.3% low and all students have the ability to think creatively. Every person has the ability to think creatively at various levels based on the experience he has gone through, so the creativity level he had is also differ respectively. According to Supriadi </w:t>
      </w:r>
      <w:r w:rsidRPr="002B33CE">
        <w:rPr>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{"citationItems":[{"id":"ITEM-1","itemData":{"author":[{"dropping-particle":"","family":"Supriadi","given":"D","non-dropping-particle":"","parse-names":false,"suffix":""}],"id":"ITEM-1","issued":{"date-parts":[["2001"]]},"publisher":"CV. Alfabeta","publisher-place":"Bandung","title":"Kreativitas, Kebudayaan dan Perkembangan IPTEK","type":"book"},"uris":["http://www.mendeley.com/documents/?uuid=25d0fc09-8df9-4d88-a212-7683dac81310"]}],"mendeley":{"formattedCitation":"(Supriadi, 2001)","manualFormatting":"(2001)","plainTextFormattedCitation":"(Supriadi, 2001)","previouslyFormattedCitation":"(Supriadi, 2001)"},"properties":{"noteIndex":0},"schema":"https://github.com/citation-style-language/schema/raw/master/csl-citation.json"}</w:instrText>
      </w:r>
      <w:r w:rsidRPr="002B33CE">
        <w:rPr>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(2001)</w:t>
      </w:r>
      <w:r w:rsidRPr="002B33CE">
        <w:rPr>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there is no person who has absolutely no creativity.</w:t>
      </w:r>
    </w:p>
    <w:p w14:paraId="593D5CDA" w14:textId="00513F6B"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ab/>
        <w:t>Based on the aspect of creative thinking abilities, the distribution of students' creative thinking abilities in this study presented in table 2 :</w:t>
      </w:r>
    </w:p>
    <w:p w14:paraId="47FA98AE" w14:textId="73C01683" w:rsidR="0035249E" w:rsidRPr="002B33CE" w:rsidRDefault="0035249E" w:rsidP="00034974">
      <w:pPr>
        <w:spacing w:after="0"/>
        <w:jc w:val="both"/>
        <w:rPr>
          <w:rFonts w:ascii="Georgia" w:eastAsia="Times New Roman" w:hAnsi="Georgia" w:cs="Times New Roman"/>
          <w:color w:val="000000" w:themeColor="text1"/>
          <w:sz w:val="20"/>
          <w:szCs w:val="20"/>
        </w:rPr>
      </w:pPr>
    </w:p>
    <w:p w14:paraId="2B2C9CDF" w14:textId="698AE576" w:rsidR="0035249E" w:rsidRPr="002B33CE" w:rsidRDefault="0035249E" w:rsidP="00034974">
      <w:pPr>
        <w:spacing w:after="0"/>
        <w:jc w:val="both"/>
        <w:rPr>
          <w:rFonts w:ascii="Georgia" w:eastAsia="Times New Roman" w:hAnsi="Georgia" w:cs="Times New Roman"/>
          <w:color w:val="000000" w:themeColor="text1"/>
          <w:sz w:val="20"/>
          <w:szCs w:val="20"/>
        </w:rPr>
      </w:pPr>
    </w:p>
    <w:p w14:paraId="1091C087" w14:textId="4293BAA8" w:rsidR="0035249E" w:rsidRPr="002B33CE" w:rsidRDefault="0035249E" w:rsidP="00034974">
      <w:pPr>
        <w:spacing w:after="0"/>
        <w:jc w:val="both"/>
        <w:rPr>
          <w:rFonts w:ascii="Georgia" w:eastAsia="Times New Roman" w:hAnsi="Georgia" w:cs="Times New Roman"/>
          <w:color w:val="000000" w:themeColor="text1"/>
          <w:sz w:val="20"/>
          <w:szCs w:val="20"/>
        </w:rPr>
      </w:pPr>
    </w:p>
    <w:p w14:paraId="386CA10A" w14:textId="3A6AC696" w:rsidR="0035249E" w:rsidRPr="002B33CE" w:rsidRDefault="0035249E" w:rsidP="00034974">
      <w:pPr>
        <w:spacing w:after="0"/>
        <w:jc w:val="both"/>
        <w:rPr>
          <w:rFonts w:ascii="Georgia" w:eastAsia="Times New Roman" w:hAnsi="Georgia" w:cs="Times New Roman"/>
          <w:color w:val="000000" w:themeColor="text1"/>
          <w:sz w:val="20"/>
          <w:szCs w:val="20"/>
        </w:rPr>
      </w:pPr>
    </w:p>
    <w:p w14:paraId="2D514D0C" w14:textId="77777777" w:rsidR="0035249E" w:rsidRPr="002B33CE" w:rsidRDefault="0035249E" w:rsidP="00034974">
      <w:pPr>
        <w:spacing w:after="0"/>
        <w:jc w:val="both"/>
        <w:rPr>
          <w:rFonts w:ascii="Georgia" w:eastAsia="Times New Roman" w:hAnsi="Georgia" w:cs="Times New Roman"/>
          <w:color w:val="000000" w:themeColor="text1"/>
          <w:sz w:val="20"/>
          <w:szCs w:val="20"/>
        </w:rPr>
      </w:pPr>
    </w:p>
    <w:p w14:paraId="222009EA"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42290D01"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Table 2. Aspects of Creative Thinking Abilities</w:t>
      </w:r>
      <w:r w:rsidRPr="002B33CE">
        <w:rPr>
          <w:rFonts w:ascii="Georgia" w:eastAsia="Times New Roman" w:hAnsi="Georgia" w:cs="Times New Roman"/>
          <w:color w:val="000000" w:themeColor="text1"/>
          <w:sz w:val="20"/>
          <w:szCs w:val="20"/>
        </w:rPr>
        <w:tab/>
      </w:r>
    </w:p>
    <w:p w14:paraId="3BE4C5A4"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noProof/>
          <w:color w:val="000000" w:themeColor="text1"/>
          <w:sz w:val="20"/>
          <w:szCs w:val="20"/>
        </w:rPr>
        <mc:AlternateContent>
          <mc:Choice Requires="wps">
            <w:drawing>
              <wp:anchor distT="0" distB="0" distL="114300" distR="114300" simplePos="0" relativeHeight="251668480" behindDoc="0" locked="0" layoutInCell="1" allowOverlap="1" wp14:anchorId="04B6916A" wp14:editId="6AF533B2">
                <wp:simplePos x="0" y="0"/>
                <wp:positionH relativeFrom="column">
                  <wp:posOffset>-43180</wp:posOffset>
                </wp:positionH>
                <wp:positionV relativeFrom="paragraph">
                  <wp:posOffset>123825</wp:posOffset>
                </wp:positionV>
                <wp:extent cx="2809875" cy="0"/>
                <wp:effectExtent l="0" t="0" r="9525" b="19050"/>
                <wp:wrapNone/>
                <wp:docPr id="13" name="Straight Connector 13"/>
                <wp:cNvGraphicFramePr/>
                <a:graphic xmlns:a="http://schemas.openxmlformats.org/drawingml/2006/main">
                  <a:graphicData uri="http://schemas.microsoft.com/office/word/2010/wordprocessingShape">
                    <wps:wsp>
                      <wps:cNvCnPr/>
                      <wps:spPr>
                        <a:xfrm>
                          <a:off x="0" y="0"/>
                          <a:ext cx="28098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FDE3530" id="Straight Connector 13"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9.75pt" to="217.85pt,9.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" strokecolor="#4a7ebb"/>
            </w:pict>
          </mc:Fallback>
        </mc:AlternateContent>
      </w:r>
    </w:p>
    <w:p w14:paraId="527EFC18"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Aspects          Percentage           Category</w:t>
      </w:r>
    </w:p>
    <w:p w14:paraId="6C9A048D"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noProof/>
          <w:color w:val="000000" w:themeColor="text1"/>
          <w:sz w:val="20"/>
          <w:szCs w:val="20"/>
        </w:rPr>
        <mc:AlternateContent>
          <mc:Choice Requires="wps">
            <w:drawing>
              <wp:anchor distT="0" distB="0" distL="114300" distR="114300" simplePos="0" relativeHeight="251667456" behindDoc="0" locked="0" layoutInCell="1" allowOverlap="1" wp14:anchorId="5BCD299A" wp14:editId="68C1CF30">
                <wp:simplePos x="0" y="0"/>
                <wp:positionH relativeFrom="column">
                  <wp:posOffset>-43180</wp:posOffset>
                </wp:positionH>
                <wp:positionV relativeFrom="paragraph">
                  <wp:posOffset>72390</wp:posOffset>
                </wp:positionV>
                <wp:extent cx="2809875" cy="0"/>
                <wp:effectExtent l="0" t="0" r="9525" b="19050"/>
                <wp:wrapNone/>
                <wp:docPr id="10" name="Straight Connector 10"/>
                <wp:cNvGraphicFramePr/>
                <a:graphic xmlns:a="http://schemas.openxmlformats.org/drawingml/2006/main">
                  <a:graphicData uri="http://schemas.microsoft.com/office/word/2010/wordprocessingShape">
                    <wps:wsp>
                      <wps:cNvCnPr/>
                      <wps:spPr>
                        <a:xfrm>
                          <a:off x="0" y="0"/>
                          <a:ext cx="2809875"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3325D5D" id="Straight Connector 1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pt,5.7pt" to="217.85pt,5.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" strokecolor="#4a7ebb"/>
            </w:pict>
          </mc:Fallback>
        </mc:AlternateContent>
      </w:r>
      <w:r w:rsidRPr="002B33CE">
        <w:rPr>
          <w:rFonts w:ascii="Georgia" w:eastAsia="Times New Roman" w:hAnsi="Georgia" w:cs="Times New Roman"/>
          <w:color w:val="000000" w:themeColor="text1"/>
          <w:sz w:val="20"/>
          <w:szCs w:val="20"/>
        </w:rPr>
        <w:t> </w:t>
      </w:r>
    </w:p>
    <w:p w14:paraId="6BAD7B46"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Fluency </w:t>
      </w:r>
      <w:r w:rsidRPr="002B33CE">
        <w:rPr>
          <w:rFonts w:ascii="Georgia" w:eastAsia="Times New Roman" w:hAnsi="Georgia" w:cs="Times New Roman"/>
          <w:color w:val="000000" w:themeColor="text1"/>
          <w:sz w:val="20"/>
          <w:szCs w:val="20"/>
        </w:rPr>
        <w:tab/>
        <w:t>62%</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Moderate</w:t>
      </w:r>
    </w:p>
    <w:p w14:paraId="795F158D"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Flexibility </w:t>
      </w:r>
      <w:r w:rsidRPr="002B33CE">
        <w:rPr>
          <w:rFonts w:ascii="Georgia" w:eastAsia="Times New Roman" w:hAnsi="Georgia" w:cs="Times New Roman"/>
          <w:color w:val="000000" w:themeColor="text1"/>
          <w:sz w:val="20"/>
          <w:szCs w:val="20"/>
        </w:rPr>
        <w:tab/>
        <w:t>51%</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Moderate</w:t>
      </w:r>
    </w:p>
    <w:p w14:paraId="4FCABC6E"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Originality </w:t>
      </w:r>
      <w:r w:rsidRPr="002B33CE">
        <w:rPr>
          <w:rFonts w:ascii="Georgia" w:eastAsia="Times New Roman" w:hAnsi="Georgia" w:cs="Times New Roman"/>
          <w:color w:val="000000" w:themeColor="text1"/>
          <w:sz w:val="20"/>
          <w:szCs w:val="20"/>
        </w:rPr>
        <w:tab/>
        <w:t>49%</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Moderate</w:t>
      </w:r>
    </w:p>
    <w:p w14:paraId="2FABABB1"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Elaboration </w:t>
      </w:r>
      <w:r w:rsidRPr="002B33CE">
        <w:rPr>
          <w:rFonts w:ascii="Georgia" w:eastAsia="Times New Roman" w:hAnsi="Georgia" w:cs="Times New Roman"/>
          <w:color w:val="000000" w:themeColor="text1"/>
          <w:sz w:val="20"/>
          <w:szCs w:val="20"/>
        </w:rPr>
        <w:tab/>
        <w:t>27%</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Low</w:t>
      </w:r>
      <w:r w:rsidRPr="002B33CE">
        <w:rPr>
          <w:rFonts w:ascii="Georgia" w:eastAsia="Times New Roman" w:hAnsi="Georgia" w:cs="Times New Roman"/>
          <w:color w:val="000000" w:themeColor="text1"/>
          <w:sz w:val="20"/>
          <w:szCs w:val="20"/>
        </w:rPr>
        <w:tab/>
      </w:r>
    </w:p>
    <w:p w14:paraId="67E67612"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noProof/>
          <w:color w:val="000000" w:themeColor="text1"/>
          <w:sz w:val="20"/>
          <w:szCs w:val="20"/>
        </w:rPr>
        <mc:AlternateContent>
          <mc:Choice Requires="wps">
            <w:drawing>
              <wp:anchor distT="0" distB="0" distL="114300" distR="114300" simplePos="0" relativeHeight="251666432" behindDoc="0" locked="0" layoutInCell="1" allowOverlap="1" wp14:anchorId="6E3640E6" wp14:editId="326496F1">
                <wp:simplePos x="0" y="0"/>
                <wp:positionH relativeFrom="column">
                  <wp:posOffset>-43180</wp:posOffset>
                </wp:positionH>
                <wp:positionV relativeFrom="paragraph">
                  <wp:posOffset>122555</wp:posOffset>
                </wp:positionV>
                <wp:extent cx="2809875" cy="10160"/>
                <wp:effectExtent l="0" t="0" r="28575" b="27940"/>
                <wp:wrapNone/>
                <wp:docPr id="8" name="Straight Connector 8"/>
                <wp:cNvGraphicFramePr/>
                <a:graphic xmlns:a="http://schemas.openxmlformats.org/drawingml/2006/main">
                  <a:graphicData uri="http://schemas.microsoft.com/office/word/2010/wordprocessingShape">
                    <wps:wsp>
                      <wps:cNvCnPr/>
                      <wps:spPr>
                        <a:xfrm flipV="1">
                          <a:off x="0" y="0"/>
                          <a:ext cx="2809875" cy="1016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540A2B28" id="Straight Connector 8" o:spid="_x0000_s1026" style="position:absolute;flip:y;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pt,9.65pt" to="217.85pt,10.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" strokecolor="#4a7ebb"/>
            </w:pict>
          </mc:Fallback>
        </mc:AlternateContent>
      </w:r>
    </w:p>
    <w:p w14:paraId="0F4C8967"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48%</w:t>
      </w:r>
      <w:r w:rsidRPr="002B33CE">
        <w:rPr>
          <w:rFonts w:ascii="Georgia" w:eastAsia="Times New Roman" w:hAnsi="Georgia" w:cs="Times New Roman"/>
          <w:color w:val="000000" w:themeColor="text1"/>
          <w:sz w:val="20"/>
          <w:szCs w:val="20"/>
        </w:rPr>
        <w:tab/>
      </w:r>
      <w:r w:rsidRPr="002B33CE">
        <w:rPr>
          <w:rFonts w:ascii="Georgia" w:eastAsia="Times New Roman" w:hAnsi="Georgia" w:cs="Times New Roman"/>
          <w:color w:val="000000" w:themeColor="text1"/>
          <w:sz w:val="20"/>
          <w:szCs w:val="20"/>
        </w:rPr>
        <w:tab/>
        <w:t>Moderate. </w:t>
      </w:r>
    </w:p>
    <w:p w14:paraId="063FE760" w14:textId="77777777" w:rsidR="00034974" w:rsidRPr="002B33CE" w:rsidRDefault="00034974" w:rsidP="00034974">
      <w:pPr>
        <w:spacing w:after="240"/>
        <w:jc w:val="both"/>
        <w:rPr>
          <w:rFonts w:ascii="Georgia" w:eastAsia="Times New Roman" w:hAnsi="Georgia" w:cs="Times New Roman"/>
          <w:color w:val="000000" w:themeColor="text1"/>
          <w:sz w:val="20"/>
          <w:szCs w:val="20"/>
        </w:rPr>
      </w:pPr>
      <w:r w:rsidRPr="002B33CE">
        <w:rPr>
          <w:rFonts w:ascii="Georgia" w:eastAsia="Times New Roman" w:hAnsi="Georgia" w:cs="Times New Roman"/>
          <w:noProof/>
          <w:color w:val="000000" w:themeColor="text1"/>
          <w:sz w:val="20"/>
          <w:szCs w:val="20"/>
        </w:rPr>
        <mc:AlternateContent>
          <mc:Choice Requires="wps">
            <w:drawing>
              <wp:anchor distT="0" distB="0" distL="114300" distR="114300" simplePos="0" relativeHeight="251665408" behindDoc="0" locked="0" layoutInCell="1" allowOverlap="1" wp14:anchorId="57FF57DE" wp14:editId="79DAC1F3">
                <wp:simplePos x="0" y="0"/>
                <wp:positionH relativeFrom="column">
                  <wp:posOffset>-43180</wp:posOffset>
                </wp:positionH>
                <wp:positionV relativeFrom="paragraph">
                  <wp:posOffset>53340</wp:posOffset>
                </wp:positionV>
                <wp:extent cx="2809875" cy="10160"/>
                <wp:effectExtent l="0" t="0" r="28575" b="27940"/>
                <wp:wrapNone/>
                <wp:docPr id="7" name="Straight Connector 7"/>
                <wp:cNvGraphicFramePr/>
                <a:graphic xmlns:a="http://schemas.openxmlformats.org/drawingml/2006/main">
                  <a:graphicData uri="http://schemas.microsoft.com/office/word/2010/wordprocessingShape">
                    <wps:wsp>
                      <wps:cNvCnPr/>
                      <wps:spPr>
                        <a:xfrm flipV="1">
                          <a:off x="0" y="0"/>
                          <a:ext cx="2809875" cy="1016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329A16D2" id="Straight Connector 7" o:spid="_x0000_s1026" style="position:absolute;flip:y;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pt,4.2pt" to="217.85pt,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" strokecolor="#4a7ebb"/>
            </w:pict>
          </mc:Fallback>
        </mc:AlternateContent>
      </w:r>
    </w:p>
    <w:p w14:paraId="5C9BEEC4" w14:textId="0F7B8ECE"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ab/>
        <w:t>The highest creative thinking ability of third semester students was the fluency aspect, 62% and the lowest was elaboration, 27%. Every aspect of the average has a moderate category except for the elaboration aspect. </w:t>
      </w:r>
    </w:p>
    <w:p w14:paraId="1222325B" w14:textId="44F28568" w:rsidR="00034974" w:rsidRPr="002B33CE" w:rsidRDefault="00034974" w:rsidP="00034974">
      <w:pPr>
        <w:spacing w:after="0"/>
        <w:jc w:val="both"/>
        <w:rPr>
          <w:rFonts w:ascii="Georgia" w:eastAsia="Times New Roman" w:hAnsi="Georgia" w:cs="Times New Roman"/>
          <w:color w:val="000000" w:themeColor="text1"/>
          <w:sz w:val="20"/>
          <w:szCs w:val="20"/>
        </w:rPr>
      </w:pPr>
    </w:p>
    <w:p w14:paraId="56A02374"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6523CB70"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 xml:space="preserve">Fluency Aspect </w:t>
      </w:r>
    </w:p>
    <w:p w14:paraId="294079A8"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Students have sufficient ability (62%) in the fluency aspect of how to solve environmental problems around campus. This aspect measures the student's ability to express ideas smoothly. According to Munandar </w:t>
      </w:r>
      <w:r w:rsidRPr="002B33CE">
        <w:rPr>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{"citationItems":[{"id":"ITEM-1","itemData":{"author":[{"dropping-particle":"","family":"Munandar","given":"U","non-dropping-particle":"","parse-names":false,"suffix":""}],"id":"ITEM-1","issued":{"date-parts":[["2009"]]},"publisher":"PT. Rineka Cipta","publisher-place":"Jakarta","title":"Pengembangan Kreativitas Anak Berbakat","type":"book"},"uris":["http://www.mendeley.com/documents/?uuid=d52d23a7-e17f-4b92-95f1-4d47f5b61d8b"]}],"mendeley":{"formattedCitation":"(Munandar, 2009)","manualFormatting":"(2009)","plainTextFormattedCitation":"(Munandar, 2009)","previouslyFormattedCitation":"(Munandar, 2009)"},"properties":{"noteIndex":0},"schema":"https://github.com/citation-style-language/schema/raw/master/csl-citation.json"}</w:instrText>
      </w:r>
      <w:r w:rsidRPr="002B33CE">
        <w:rPr>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(2009)</w:t>
      </w:r>
      <w:r w:rsidRPr="002B33CE">
        <w:rPr>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this aspect of fluency is the skill of producing many relevant ideas that are also smooth. Most students can provide ideas and ideas in various ways of socializing the dangers of sterofoam and solutions to reduce plastic around campus, fluency or smoothness is judged by the number of alternative ideas for solutions expressed. The ability of students to express ideas smoothly is influenced by the amount of memory they get from various sources and learning approaches carried out at school and college, which are then used to answer the problem of how to tackle waste through socialization of hazards and ways to reduce plastic and Styrofoam waste around campus. The ideas expressed by these students are their abilities in retrieving information stored in their memory to be used when needed. According to Guilford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{"citationItems":[{"id":"ITEM-1","itemData":{"DOI":"10.1080/00405846609542023","ISSN":"0040-5841","author":[{"dropping-particle":"","family":"Guilford","given":"J P","non-dropping-particle":"","parse-names":false,"suffix":""}],"container-title":"Theory Into Practice","id":"ITEM-1","issue":"4","issued":{"date-parts":[["2009","10","1"]]},"note":"doi: 10.1080/00405846609542023","page":"185-189","publisher":"Routledge","title":"Measurement and Creativity","type":"article-journal","volume":"5"},"uris":["http://www.mendeley.com/documents/?uuid=e420aadc-9945-4849-ab91-975f1ea8cfbb"]}],"mendeley":{"formattedCitation":"(Guilford, 2009)","manualFormatting":"(2009)","plainTextFormattedCitation":"(Guilford, 2009)","previouslyFormattedCitation":"(Guilford, 2009)"},"properties":{"noteIndex":0},"schema":"https://github.com/citation-style-language/schema/raw/master/csl-citation.json"}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bCs/>
          <w:noProof/>
          <w:color w:val="000000" w:themeColor="text1"/>
          <w:sz w:val="20"/>
          <w:szCs w:val="20"/>
          <w:lang w:val="en-US"/>
        </w:rPr>
        <w:t>(2009)</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there is a real difference between having information in memory storage and being able to retrieve it and use it when needed in new situations.</w:t>
      </w:r>
    </w:p>
    <w:p w14:paraId="50568CC1" w14:textId="77777777" w:rsidR="00034974" w:rsidRPr="002B33CE" w:rsidRDefault="00034974" w:rsidP="00034974">
      <w:pPr>
        <w:spacing w:after="0"/>
        <w:jc w:val="both"/>
        <w:rPr>
          <w:rFonts w:ascii="Georgia" w:eastAsia="Times New Roman" w:hAnsi="Georgia" w:cs="Times New Roman"/>
          <w:b/>
          <w:color w:val="000000" w:themeColor="text1"/>
          <w:sz w:val="20"/>
          <w:szCs w:val="20"/>
        </w:rPr>
      </w:pPr>
    </w:p>
    <w:p w14:paraId="2987E013" w14:textId="587D0C8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 xml:space="preserve">Flexibility Aspects </w:t>
      </w:r>
    </w:p>
    <w:p w14:paraId="5CABFBA9" w14:textId="2362AFAB"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Students have sufficient ability (51%) on flexibility aspects. The ideas expressed by students in answering questions in this aspect have various answers that indicate the direction of each student's thought in overcoming environmental problems around campus. In line with Munandar </w:t>
      </w:r>
      <w:r w:rsidRPr="002B33CE">
        <w:rPr>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{"citationItems":[{"id":"ITEM-1","itemData":{"author":[{"dropping-particle":"","family":"Munandar","given":"U","non-dropping-particle":"","parse-names":false,"suffix":""}],"id":"ITEM-1","issued":{"date-parts":[["2009"]]},"publisher":"PT. Rineka Cipta","publisher-place":"Jakarta","title":"Pengembangan Kreativitas Anak Berbakat","type":"book"},"uris":["http://www.mendeley.com/documents/?uuid=d52d23a7-e17f-4b92-95f1-4d47f5b61d8b"]}],"mendeley":{"formattedCitation":"(Munandar, 2009)","manualFormatting":"(2009)","plainTextFormattedCitation":"(Munandar, 2009)","previouslyFormattedCitation":"(Munandar, 2009)"},"properties":{"noteIndex":0},"schema":"https://github.com/citation-style-language/schema/raw/master/csl-citation.json"}</w:instrText>
      </w:r>
      <w:r w:rsidRPr="002B33CE">
        <w:rPr>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(2009)</w:t>
      </w:r>
      <w:r w:rsidRPr="002B33CE">
        <w:rPr>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that students who have flexible thinking skills are able to change their approach and have different directions of thought. Based on the analysis of the answers to the questions raised by the students, they showed their thinking skills by build the idea of </w:t>
      </w:r>
      <w:r w:rsidRPr="002B33CE">
        <w:rPr>
          <w:rFonts w:ascii="Times New Roman" w:eastAsia="Times New Roman" w:hAnsi="Times New Roman" w:cs="Times New Roman"/>
          <w:color w:val="000000" w:themeColor="text1"/>
          <w:sz w:val="20"/>
          <w:szCs w:val="20"/>
        </w:rPr>
        <w:t>​​</w:t>
      </w:r>
      <w:r w:rsidRPr="002B33CE">
        <w:rPr>
          <w:rFonts w:ascii="Georgia" w:eastAsia="Times New Roman" w:hAnsi="Georgia" w:cs="Times New Roman"/>
          <w:color w:val="000000" w:themeColor="text1"/>
          <w:sz w:val="20"/>
          <w:szCs w:val="20"/>
        </w:rPr>
        <w:t>designing anti-sterofoam campaign designs on campus and managing campus waste through waste banks. The form of evaluation in the form of real case studies around the environment gives students the opportunity to answer from different points of view in understanding it. This difference in perspective will guide students in giving answers with different approaches. Students have their own way of designing these activities, but there are still many answers that lead to the same approach.</w:t>
      </w:r>
    </w:p>
    <w:p w14:paraId="1BF9E7A6"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p>
    <w:p w14:paraId="4CE27C87"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 xml:space="preserve">Originality Aspect </w:t>
      </w:r>
    </w:p>
    <w:p w14:paraId="27D023BB" w14:textId="5D388B71" w:rsidR="00034974" w:rsidRPr="002B33CE" w:rsidRDefault="00034974" w:rsidP="00034974">
      <w:pPr>
        <w:spacing w:after="0"/>
        <w:ind w:firstLine="720"/>
        <w:jc w:val="both"/>
        <w:rPr>
          <w:rFonts w:ascii="Georgia"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Students have sufficient ability (49%)in the originality aspect of how to solve environmental problems around their house. The evaluation form is a real case studies on how to solve the problem of domestic waste with residents in neighborhood,it gives students the opportunity to express ideas based on the experiences and information they get on campus. Another problem is the idea of </w:t>
      </w:r>
      <w:r w:rsidRPr="002B33CE">
        <w:rPr>
          <w:rFonts w:ascii="Times New Roman" w:eastAsia="Times New Roman" w:hAnsi="Times New Roman" w:cs="Times New Roman"/>
          <w:color w:val="000000" w:themeColor="text1"/>
          <w:sz w:val="20"/>
          <w:szCs w:val="20"/>
        </w:rPr>
        <w:t>​​</w:t>
      </w:r>
      <w:r w:rsidRPr="002B33CE">
        <w:rPr>
          <w:rFonts w:ascii="Georgia" w:eastAsia="Times New Roman" w:hAnsi="Georgia" w:cs="Times New Roman"/>
          <w:color w:val="000000" w:themeColor="text1"/>
          <w:sz w:val="20"/>
          <w:szCs w:val="20"/>
        </w:rPr>
        <w:t>making waste management in the environment where they teach with their position as decision makers . Creative ideas often arise from thoughts that are contrary to other ideas in general. New ideas that emerge are related to their ability to think flexibly. According to Gu</w:t>
      </w:r>
      <w:r w:rsidRPr="002B33CE">
        <w:rPr>
          <w:rFonts w:ascii="Georgia" w:eastAsia="Times New Roman" w:hAnsi="Georgia" w:cs="Times New Roman"/>
          <w:color w:val="000000" w:themeColor="text1"/>
          <w:sz w:val="20"/>
          <w:szCs w:val="20"/>
          <w:lang w:val="en-US"/>
        </w:rPr>
        <w:t>il</w:t>
      </w:r>
      <w:r w:rsidRPr="002B33CE">
        <w:rPr>
          <w:rFonts w:ascii="Georgia" w:eastAsia="Times New Roman" w:hAnsi="Georgia" w:cs="Times New Roman"/>
          <w:color w:val="000000" w:themeColor="text1"/>
          <w:sz w:val="20"/>
          <w:szCs w:val="20"/>
        </w:rPr>
        <w:t xml:space="preserve">lford </w:t>
      </w:r>
      <w:r w:rsidRPr="002B33CE">
        <w:rPr>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{"citationItems":[{"id":"ITEM-1","itemData":{"DOI":"10.1080/00405846609542023","ISSN":"0040-5841","author":[{"dropping-particle":"","family":"Guilford","given":"J P","non-dropping-particle":"","parse-names":false,"suffix":""}],"container-title":"Theory Into Practice","id":"ITEM-1","issue":"4","issued":{"date-parts":[["2009","10","1"]]},"note":"doi: 10.1080/00405846609542023","page":"185-189","publisher":"Routledge","title":"Measurement and Creativity","type":"article-journal","volume":"5"},"uris":["http://www.mendeley.com/documents/?uuid=e420aadc-9945-4849-ab91-975f1ea8cfbb"]}],"mendeley":{"formattedCitation":"(Guilford, 2009)","manualFormatting":"(2009)","plainTextFormattedCitation":"(Guilford, 2009)","previouslyFormattedCitation":"(Guilford, 2009)"},"properties":{"noteIndex":0},"schema":"https://github.com/citation-style-language/schema/raw/master/csl-citation.json"}</w:instrText>
      </w:r>
      <w:r w:rsidRPr="002B33CE">
        <w:rPr>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(2009)</w:t>
      </w:r>
      <w:r w:rsidRPr="002B33CE">
        <w:rPr>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the nature of flexibility is related to the production of transformations in the form of different ideas and contributes to insight, intuition, and inspiration that are often the hallmarks of creative thinking. Based on the analysis of the answers to questions, some students answered general questions because they only repeated answers from the previous answer and they gave minimal new ideas in designing actions </w:t>
      </w:r>
      <w:r w:rsidRPr="002B33CE">
        <w:rPr>
          <w:rFonts w:ascii="Georgia" w:eastAsia="Times New Roman" w:hAnsi="Georgia" w:cs="Times New Roman"/>
          <w:color w:val="000000" w:themeColor="text1"/>
          <w:sz w:val="20"/>
          <w:szCs w:val="20"/>
        </w:rPr>
        <w:lastRenderedPageBreak/>
        <w:t>through their own way. Several students were able to express their new ideas that were uncommon in context of making a domestic waste management plan that involves several stakeholders and various management techniques in the community, as well as original ideas emerged in making school waste management regulations.</w:t>
      </w:r>
      <w:r w:rsidRPr="002B33CE">
        <w:rPr>
          <w:rFonts w:ascii="Georgia" w:hAnsi="Georgia" w:cs="Times New Roman"/>
          <w:color w:val="000000" w:themeColor="text1"/>
          <w:sz w:val="20"/>
          <w:szCs w:val="20"/>
        </w:rPr>
        <w:t xml:space="preserve">According to Amtiningsih et al. </w:t>
      </w:r>
      <w:r w:rsidRPr="002B33CE">
        <w:rPr>
          <w:rStyle w:val="FootnoteReference"/>
          <w:rFonts w:ascii="Georgia" w:hAnsi="Georgia" w:cs="Times New Roman"/>
          <w:color w:val="000000" w:themeColor="text1"/>
          <w:sz w:val="20"/>
          <w:szCs w:val="20"/>
        </w:rPr>
        <w:fldChar w:fldCharType="begin" w:fldLock="1"/>
      </w:r>
      <w:r w:rsidRPr="002B33CE">
        <w:rPr>
          <w:rFonts w:ascii="Georgia" w:hAnsi="Georgia" w:cs="Times New Roman"/>
          <w:color w:val="000000" w:themeColor="text1"/>
          <w:sz w:val="20"/>
          <w:szCs w:val="20"/>
        </w:rPr>
        <w:instrText>ADDIN CSL_CITATION {"citationItems":[{"id":"ITEM-1","itemData":{"abstract":"Creative thinking ability is the individual imagination to solve problems. Low creative thinking ability causes students find difficulties in resolving problems faced in learning. Guided inquiry combined with brainstorming is an alternative solution to improve creative thinking ability, give students freedom to think to solve the problem. Creative thinking ability developed consists of fluency, flexibility, originality and elaboration. The purpose of this research was to improve creative thinking ability of students through guided inquiry combined with brainstorming on water pollution material. This research was a classroom action research, held in May 2016. The subjects were students of class X private high school in Karanganyar, with total of 41 students. The research data were obtained through observation, interviews, documentation, and testing. The main data source of creative thinking was from the result of test which was compiled based on aspects of creative thinking by Munandar. The validity of the data was confirmed through triangulation techniques. The data analysis was done through descriptive analysis techniques. The increase of fluency, flexibility, elaboration, and originality aspect was 10.3%, 8.6%, 11.87% and 14.4%, respectively. Conclusion of the research is that there was an increased creative thinking ability from pre-cycle to the first cycle in the form of an improvement category from less creative to quite creative category. Evaluation study shows that the use of guided inquiry combined with brainstorming effectively improved the ability to creative thinking.","author":[{"dropping-particle":"","family":"Amtiningsih","given":"Septi","non-dropping-particle":"","parse-names":false,"suffix":""},{"dropping-particle":"","family":"Dwiastuti","given":"Sri","non-dropping-particle":"","parse-names":false,"suffix":""},{"dropping-particle":"","family":"Puspita Sari","given":"Dewi","non-dropping-particle":"","parse-names":false,"suffix":""}],"container-title":"Proceeding Biology Education Conference","id":"ITEM-1","issue":"1","issued":{"date-parts":[["2016"]]},"page":"868-872","title":"Peningkatan Kemampuan Berpikir Kreatif melalui Penerapan Guided Inquiry dipadu Brainstorming pada Materi Pencemaran Air Improving Creative Thinking Ability through Guided Inquiry Combined Brainstorming Application in Material of Water Pollution","type":"article-journal","volume":"13"},"uris":["http://www.mendeley.com/documents/?uuid=c3ff56a0-a322-4ed1-8b19-f44b54fa3d8a"]}],"mendeley":{"formattedCitation":"(Amtiningsih et al., 2016)","manualFormatting":"( 2016)","plainTextFormattedCitation":"(Amtiningsih et al., 2016)","previouslyFormattedCitation":"(Amtiningsih et al., 2016)"},"properties":{"noteIndex":0},"schema":"https://github.com/citation-style-language/schema/raw/master/csl-citation.json"}</w:instrText>
      </w:r>
      <w:r w:rsidRPr="002B33CE">
        <w:rPr>
          <w:rStyle w:val="FootnoteReference"/>
          <w:rFonts w:ascii="Georgia" w:hAnsi="Georgia" w:cs="Times New Roman"/>
          <w:color w:val="000000" w:themeColor="text1"/>
          <w:sz w:val="20"/>
          <w:szCs w:val="20"/>
        </w:rPr>
        <w:fldChar w:fldCharType="separate"/>
      </w:r>
      <w:r w:rsidRPr="002B33CE">
        <w:rPr>
          <w:rFonts w:ascii="Georgia" w:hAnsi="Georgia" w:cs="Times New Roman"/>
          <w:bCs/>
          <w:noProof/>
          <w:color w:val="000000" w:themeColor="text1"/>
          <w:sz w:val="20"/>
          <w:szCs w:val="20"/>
          <w:lang w:val="en-US"/>
        </w:rPr>
        <w:t>( 2016)</w:t>
      </w:r>
      <w:r w:rsidRPr="002B33CE">
        <w:rPr>
          <w:rStyle w:val="FootnoteReference"/>
          <w:rFonts w:ascii="Georgia" w:hAnsi="Georgia" w:cs="Times New Roman"/>
          <w:color w:val="000000" w:themeColor="text1"/>
          <w:sz w:val="20"/>
          <w:szCs w:val="20"/>
        </w:rPr>
        <w:fldChar w:fldCharType="end"/>
      </w:r>
      <w:r w:rsidRPr="002B33CE">
        <w:rPr>
          <w:rFonts w:ascii="Georgia" w:hAnsi="Georgia" w:cs="Times New Roman"/>
          <w:color w:val="000000" w:themeColor="text1"/>
          <w:sz w:val="20"/>
          <w:szCs w:val="20"/>
        </w:rPr>
        <w:t xml:space="preserve"> Original thinking skills do require development of the aspects of fluency and flexibility firs. When these aspects have not been fulfilled it will be difficult to achieve the original thinking skills of students.</w:t>
      </w:r>
    </w:p>
    <w:p w14:paraId="5D4A5A78" w14:textId="77777777" w:rsidR="00034974" w:rsidRPr="002B33CE" w:rsidRDefault="00034974" w:rsidP="00034974">
      <w:pPr>
        <w:spacing w:after="0"/>
        <w:ind w:firstLine="720"/>
        <w:jc w:val="both"/>
        <w:rPr>
          <w:rFonts w:ascii="Georgia" w:hAnsi="Georgia" w:cs="Times New Roman"/>
          <w:color w:val="000000" w:themeColor="text1"/>
          <w:sz w:val="20"/>
          <w:szCs w:val="20"/>
        </w:rPr>
      </w:pPr>
    </w:p>
    <w:p w14:paraId="76F78ADB"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 xml:space="preserve">Collaboration Aspect </w:t>
      </w:r>
    </w:p>
    <w:p w14:paraId="1196F02B" w14:textId="087DA76E"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This aspect of detailed thinking is a skill in developing, adding, enriching an idea, or focusing on details, as well as expanding an idea </w:t>
      </w:r>
      <w:r w:rsidRPr="002B33CE">
        <w:rPr>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{"citationItems":[{"id":"ITEM-1","itemData":{"author":[{"dropping-particle":"","family":"Munandar","given":"U","non-dropping-particle":"","parse-names":false,"suffix":""}],"id":"ITEM-1","issued":{"date-parts":[["2009"]]},"publisher":"PT. Rineka Cipta","publisher-place":"Jakarta","title":"Pengembangan Kreativitas Anak Berbakat","type":"book"},"uris":["http://www.mendeley.com/documents/?uuid=d52d23a7-e17f-4b92-95f1-4d47f5b61d8b"]}],"mendeley":{"formattedCitation":"(Munandar, 2009)","plainTextFormattedCitation":"(Munandar, 2009)","previouslyFormattedCitation":"(Munandar, 2009)"},"properties":{"noteIndex":0},"schema":"https://github.com/citation-style-language/schema/raw/master/csl-citation.json"}</w:instrText>
      </w:r>
      <w:r w:rsidRPr="002B33CE">
        <w:rPr>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(Munandar, 2009)</w:t>
      </w:r>
      <w:r w:rsidRPr="002B33CE">
        <w:rPr>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The results of measuring the students' ability in detailed thinking were low (27%). Based on the analysis of the answers to the questions, the ability to detail the ideas of recycling the leaf litter problem in the campus yard is very minimal because only a few students can answer in detail how to develop the ideas they make. Generally, the answer to this open problem is not accompanied by detailed steps on how to treat leaf waste which is a problem in the campus environment and how to take steps to involve students and all campus residents to take responsibility for managing it in a sustainable manner.</w:t>
      </w:r>
    </w:p>
    <w:p w14:paraId="680B73D0" w14:textId="77777777" w:rsidR="00034974" w:rsidRPr="002B33CE" w:rsidRDefault="00034974" w:rsidP="00EE74FF">
      <w:pPr>
        <w:spacing w:after="0"/>
        <w:jc w:val="both"/>
        <w:rPr>
          <w:rFonts w:ascii="Georgia" w:eastAsia="Times New Roman" w:hAnsi="Georgia" w:cs="Times New Roman"/>
          <w:color w:val="000000" w:themeColor="text1"/>
          <w:sz w:val="20"/>
          <w:szCs w:val="20"/>
        </w:rPr>
      </w:pPr>
    </w:p>
    <w:p w14:paraId="668857CB"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Aspects that Influence Creative Thinking Ability</w:t>
      </w:r>
    </w:p>
    <w:p w14:paraId="179CED1A" w14:textId="1A66F40B"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Other aspects examined for possible effects on the ability to think creatively include economic aspects, the living environment, student academic scores (GPA), student authentic experiences, freedom of opinion in the family and non-academic achievement. </w:t>
      </w:r>
    </w:p>
    <w:p w14:paraId="7AACF8AC"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p>
    <w:p w14:paraId="7A40B690"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Economy</w:t>
      </w:r>
    </w:p>
    <w:p w14:paraId="1FA8B464" w14:textId="2763F27B" w:rsidR="00034974" w:rsidRPr="002B33CE" w:rsidRDefault="00034974" w:rsidP="00034974">
      <w:pPr>
        <w:spacing w:after="0"/>
        <w:ind w:firstLine="720"/>
        <w:jc w:val="both"/>
        <w:rPr>
          <w:rFonts w:ascii="Georgia" w:eastAsia="Times New Roman" w:hAnsi="Georgia" w:cs="Times New Roman"/>
          <w:color w:val="000000" w:themeColor="text1"/>
          <w:sz w:val="20"/>
          <w:szCs w:val="20"/>
          <w:lang w:val="en-US"/>
        </w:rPr>
      </w:pPr>
      <w:r w:rsidRPr="002B33CE">
        <w:rPr>
          <w:rFonts w:ascii="Georgia" w:eastAsia="Times New Roman" w:hAnsi="Georgia" w:cs="Times New Roman"/>
          <w:color w:val="000000" w:themeColor="text1"/>
          <w:sz w:val="20"/>
          <w:szCs w:val="20"/>
        </w:rPr>
        <w:t>Correlation beetwen economic level with creative thinking ability in solving environmental problem presented in Figure 1</w:t>
      </w:r>
      <w:r w:rsidR="002B33CE" w:rsidRPr="002B33CE">
        <w:rPr>
          <w:rFonts w:ascii="Georgia" w:eastAsia="Times New Roman" w:hAnsi="Georgia" w:cs="Times New Roman"/>
          <w:color w:val="000000" w:themeColor="text1"/>
          <w:sz w:val="20"/>
          <w:szCs w:val="20"/>
          <w:lang w:val="en-US"/>
        </w:rPr>
        <w:t>.</w:t>
      </w:r>
    </w:p>
    <w:p w14:paraId="261D2065"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467081C8"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w:t>
      </w:r>
      <w:r w:rsidRPr="002B33CE">
        <w:rPr>
          <w:rFonts w:ascii="Georgia" w:hAnsi="Georgia"/>
          <w:noProof/>
          <w:color w:val="000000" w:themeColor="text1"/>
          <w:sz w:val="20"/>
          <w:szCs w:val="20"/>
        </w:rPr>
        <w:drawing>
          <wp:inline distT="0" distB="0" distL="0" distR="0" wp14:anchorId="584F9378" wp14:editId="6EFD134C">
            <wp:extent cx="3032911" cy="1955549"/>
            <wp:effectExtent l="0" t="0" r="2540" b="63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52FAD3F"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711630B0" w14:textId="67ED606A" w:rsidR="00034974" w:rsidRPr="002B33CE" w:rsidRDefault="00034974" w:rsidP="00034974">
      <w:pPr>
        <w:spacing w:after="0"/>
        <w:jc w:val="both"/>
        <w:rPr>
          <w:rFonts w:ascii="Georgia" w:eastAsia="Times New Roman" w:hAnsi="Georgia" w:cs="Times New Roman"/>
          <w:b/>
          <w:color w:val="000000" w:themeColor="text1"/>
          <w:sz w:val="20"/>
          <w:szCs w:val="20"/>
        </w:rPr>
      </w:pPr>
      <w:r w:rsidRPr="002B33CE">
        <w:rPr>
          <w:rFonts w:ascii="Georgia" w:eastAsia="Times New Roman" w:hAnsi="Georgia" w:cs="Times New Roman"/>
          <w:b/>
          <w:color w:val="000000" w:themeColor="text1"/>
          <w:sz w:val="20"/>
          <w:szCs w:val="20"/>
        </w:rPr>
        <w:t>Fig</w:t>
      </w:r>
      <w:r w:rsidRPr="002B33CE">
        <w:rPr>
          <w:rFonts w:ascii="Georgia" w:eastAsia="Times New Roman" w:hAnsi="Georgia" w:cs="Times New Roman"/>
          <w:b/>
          <w:color w:val="000000" w:themeColor="text1"/>
          <w:sz w:val="20"/>
          <w:szCs w:val="20"/>
          <w:lang w:val="en-US"/>
        </w:rPr>
        <w:t>.</w:t>
      </w:r>
      <w:r w:rsidRPr="002B33CE">
        <w:rPr>
          <w:rFonts w:ascii="Georgia" w:eastAsia="Times New Roman" w:hAnsi="Georgia" w:cs="Times New Roman"/>
          <w:b/>
          <w:color w:val="000000" w:themeColor="text1"/>
          <w:sz w:val="20"/>
          <w:szCs w:val="20"/>
        </w:rPr>
        <w:t xml:space="preserve"> 1. Lower class and Upper class economic level</w:t>
      </w:r>
    </w:p>
    <w:p w14:paraId="1898BDEB"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7B56B1DE" w14:textId="77777777" w:rsidR="00034974" w:rsidRPr="002B33CE" w:rsidRDefault="00034974" w:rsidP="00034974">
      <w:pPr>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shd w:val="clear" w:color="auto" w:fill="FFFFFF" w:themeFill="background1"/>
        </w:rPr>
        <w:t>In the low class, namely students who have the ability to think creatively below the average in this study, have parents with an income above 5 million rupiah, reaching 37.50%. Meanwhile, upper class students with parents' income above 5 million rupiah reached 70.83%.</w:t>
      </w:r>
      <w:r w:rsidRPr="002B33CE">
        <w:rPr>
          <w:rFonts w:ascii="Georgia" w:eastAsia="Times New Roman" w:hAnsi="Georgia" w:cs="Times New Roman"/>
          <w:color w:val="000000" w:themeColor="text1"/>
          <w:sz w:val="20"/>
          <w:szCs w:val="20"/>
        </w:rPr>
        <w:t xml:space="preserve"> According to Mann Withney-U test, a significant value was obtained 0.022, indicating that there are differences in economic conditions between  lower class economy with high grade</w:t>
      </w:r>
    </w:p>
    <w:p w14:paraId="47F27B13" w14:textId="2FB552C5" w:rsidR="00034974" w:rsidRPr="002B33CE" w:rsidRDefault="00034974" w:rsidP="00034974">
      <w:pPr>
        <w:spacing w:after="0"/>
        <w:jc w:val="both"/>
        <w:rPr>
          <w:rFonts w:ascii="Georgia" w:eastAsia="Times New Roman" w:hAnsi="Georgia" w:cs="Times New Roman"/>
          <w:color w:val="000000" w:themeColor="text1"/>
          <w:sz w:val="20"/>
          <w:szCs w:val="20"/>
          <w:lang w:val="en-US"/>
        </w:rPr>
      </w:pPr>
      <w:r w:rsidRPr="002B33CE">
        <w:rPr>
          <w:rFonts w:ascii="Georgia" w:eastAsia="Times New Roman" w:hAnsi="Georgia" w:cs="Times New Roman"/>
          <w:color w:val="000000" w:themeColor="text1"/>
          <w:sz w:val="20"/>
          <w:szCs w:val="20"/>
        </w:rPr>
        <w:t xml:space="preserve">So it can be assumed that students' thinking abilities are supported by the economic propsperity of their parents. Economic factors provide opportunities for individuals to carry out various activities other than activities to meet their economic needs. Students with high economic levels have the opportunity to concentrate on their learning activities including increasing their creative thinking skills at school as well as having relatively much study time at home and more adequate facilities than low-income students. Research by Boardman </w:t>
      </w:r>
      <w:r w:rsidRPr="002B33CE">
        <w:rPr>
          <w:rStyle w:val="FootnoteReference"/>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DOI":"10.1016/S1462-9011(02)00120-X","author":[{"dropping-particle":"","family":"Boardman","given":"John","non-dropping-particle":"","parse-names":false,"suffix":""},{"dropping-particle":"","family":"Poesen","given":"J","non-dropping-particle":"","parse-names":false,"suffix":""},{"dropping-particle":"","family":"Evans","given":"Robert","non-dropping-particle":"","parse-names":false,"suffix":""}],"container-title":"Environmental Science &amp; Policy","id":"ITEM-1","issued":{"date-parts":[["2003","2","1"]]},"page":"1-6","title":"Socio-economic factors in soil erosion and conservation","type":"article-journal","volume":"6"},"uris":["http://www.mendeley.com/documents/?uuid=04eb7900-d578-49b9-99b8-c6b61ba6cb95"]}],"mendeley":{"formattedCitation":"(Boardman et al., 2003)","plainTextFormattedCitation":"(Boardman et al., 2003)","previouslyFormattedCitation":"(Boardman et al., 2003)"},"properties":{"noteIndex":0},"schema":"https://github.com/citation-style-language/schema/raw/master/csl-citation.json"}</w:instrText>
      </w:r>
      <w:r w:rsidRPr="002B33CE">
        <w:rPr>
          <w:rStyle w:val="FootnoteReference"/>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bCs/>
          <w:noProof/>
          <w:color w:val="000000" w:themeColor="text1"/>
          <w:sz w:val="20"/>
          <w:szCs w:val="20"/>
          <w:lang w:val="en-US"/>
        </w:rPr>
        <w:t>(Boardman et al., 2003)</w:t>
      </w:r>
      <w:r w:rsidRPr="002B33CE">
        <w:rPr>
          <w:rStyle w:val="FootnoteReference"/>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shows that relatively poor farmers concentrate more on the urgent needs of life so they ignore sustainable land management, resulting in land erosion. Neglection on the environment can also occur in other professions, if they only spend time and thought to meet the basic needs of their family. This </w:t>
      </w:r>
      <w:r w:rsidRPr="002B33CE">
        <w:rPr>
          <w:rFonts w:ascii="Georgia" w:eastAsia="Times New Roman" w:hAnsi="Georgia" w:cs="Times New Roman"/>
          <w:color w:val="000000" w:themeColor="text1"/>
          <w:sz w:val="20"/>
          <w:szCs w:val="20"/>
        </w:rPr>
        <w:tab/>
        <w:t xml:space="preserve">condition can also result on neglection of environmental character building at the family level. </w:t>
      </w:r>
      <w:r w:rsidRPr="002B33CE">
        <w:rPr>
          <w:rFonts w:ascii="Georgia" w:eastAsia="Times New Roman" w:hAnsi="Georgia" w:cs="Times New Roman"/>
          <w:color w:val="000000" w:themeColor="text1"/>
          <w:sz w:val="20"/>
          <w:szCs w:val="20"/>
        </w:rPr>
        <w:lastRenderedPageBreak/>
        <w:t xml:space="preserve">According to Saputro </w:t>
      </w:r>
      <w:r w:rsidRPr="002B33CE">
        <w:rPr>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{"citationItems":[{"id":"ITEM-1","itemData":{"abstract":"This study is aimed to find out the relationship between (1) knowledge of living environment towards environmental awareness; (2) socioeconomic level on environmental awareness; (3) the education level on environmental awareness; (4) knowledge of living environment, socioeconomic level and education level collectively of environmental awareness; (5) As a learning resource of the learning environment themes in the eleventh grade students of high school. This study was quantitative research. The population was housewives consist of 712 families. The sample was 142 housewives. The research sampling was random sampling techniques. Data collection techniques was done by using a observation and questionnaire. The data analysis technique is multiple linear analysis. The results show that (1) there is a positive and significant relationship between living environment towards environmental awareness, it is shown by the magnitude of the correlation between variables X1 &gt; Y (0.262 &gt; 0.165); (2) there is a positive and significant relationship between socioeconomic attitude levels towards environmental awareness, it is indicated by the magnitude of the correlation between X2 &gt; Y (0.186 &gt; 0.165); (3) There is a positive and significant relationship between the level of education on environmental awareness, it is indicated by the magnitude of correlation between X3 &gt; Y (0.173 &gt; 0.165; (4) There is a positive and significant relationship between the knowledge of environmental, socioeconomic level, and level of education together against environmental awareness, it is indicated by the magnitude of the coefficient multiple correlation (0.408 &gt; 0.165); (5) The theme of environmental knowledge, socioeconomic level and education level of the environmental awareness can be used as a learning resource on the topic: the environment of learning in the eleventh grade students of high school.","author":[{"dropping-particle":"","family":"Saputro","given":"Dwi","non-dropping-particle":"","parse-names":false,"suffix":""},{"dropping-particle":"","family":"Rintayati","given":"Peduk","non-dropping-particle":"","parse-names":false,"suffix":""},{"dropping-particle":"","family":"Supeni","given":"Siti","non-dropping-particle":"","parse-names":false,"suffix":""}],"container-title":"Jurnal GeoEco","id":"ITEM-1","issue":"2","issued":{"date-parts":[["2016"]]},"page":"128-136","title":"HUBUNGAN PENGETAHUAN LINGKUNGAN HIDUP, TINGKAT SOSIAL EKONOMI DAN TINGKAT PENDIDIKAN TERHADAP SIKAP PEDULI LINGKUNGAN (Pada Ibu Rumah Tangga di Desa Jati Agung, Kecamatan Ambarawa, Kabupaten Pringsewu Lampung Tahun 2015 dan Sebagai Subtansi Pembelajaran d","type":"article-journal","volume":"2"},"uris":["http://www.mendeley.com/documents/?uuid=7bf988a4-4238-4a48-b7a8-0f0c183bbc56"]}],"mendeley":{"formattedCitation":"(Saputro et al., 2016)","plainTextFormattedCitation":"(Saputro et al., 2016)","previouslyFormattedCitation":"(Saputro et al., 2016)"},"properties":{"noteIndex":0},"schema":"https://github.com/citation-style-language/schema/raw/master/csl-citation.json"}</w:instrText>
      </w:r>
      <w:r w:rsidRPr="002B33CE">
        <w:rPr>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(Saputro et al., 2016)</w:t>
      </w:r>
      <w:r w:rsidRPr="002B33CE">
        <w:rPr>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xml:space="preserve"> the socio-economic level has an influence on a person's caring attitude towards their environment. This environmental awareness can be in the form of the involvement of students' minds to find solutions to environmental problems in various ways, including being creative</w:t>
      </w:r>
      <w:r w:rsidRPr="002B33CE">
        <w:rPr>
          <w:rFonts w:ascii="Georgia" w:eastAsia="Times New Roman" w:hAnsi="Georgia" w:cs="Times New Roman"/>
          <w:color w:val="000000" w:themeColor="text1"/>
          <w:sz w:val="20"/>
          <w:szCs w:val="20"/>
          <w:lang w:val="en-US"/>
        </w:rPr>
        <w:t>.</w:t>
      </w:r>
    </w:p>
    <w:p w14:paraId="5A352C2D" w14:textId="77777777" w:rsidR="00034974" w:rsidRPr="002B33CE" w:rsidRDefault="00034974" w:rsidP="00034974">
      <w:pPr>
        <w:spacing w:after="0"/>
        <w:jc w:val="both"/>
        <w:rPr>
          <w:rFonts w:ascii="Georgia" w:eastAsia="Times New Roman" w:hAnsi="Georgia" w:cs="Times New Roman"/>
          <w:color w:val="000000" w:themeColor="text1"/>
          <w:sz w:val="20"/>
          <w:szCs w:val="20"/>
          <w:lang w:val="en-US"/>
        </w:rPr>
      </w:pPr>
    </w:p>
    <w:p w14:paraId="3C685142"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Living environment</w:t>
      </w:r>
    </w:p>
    <w:p w14:paraId="09022427"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Correlation beetwen living environment with creative thinking ability in solving environmental problem presented in Figure 2</w:t>
      </w:r>
    </w:p>
    <w:p w14:paraId="3231911C"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3298A7B4"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hAnsi="Georgia"/>
          <w:noProof/>
          <w:color w:val="000000" w:themeColor="text1"/>
          <w:sz w:val="20"/>
          <w:szCs w:val="20"/>
        </w:rPr>
        <w:drawing>
          <wp:inline distT="0" distB="0" distL="0" distR="0" wp14:anchorId="4B15C9D3" wp14:editId="1DEC837D">
            <wp:extent cx="2876550" cy="1857375"/>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256677A3" w14:textId="77777777" w:rsidR="00034974" w:rsidRPr="002B33CE" w:rsidRDefault="00034974" w:rsidP="00034974">
      <w:pPr>
        <w:spacing w:after="0"/>
        <w:jc w:val="both"/>
        <w:rPr>
          <w:rFonts w:ascii="Georgia" w:eastAsia="Times New Roman" w:hAnsi="Georgia" w:cs="Times New Roman"/>
          <w:b/>
          <w:color w:val="000000" w:themeColor="text1"/>
          <w:sz w:val="20"/>
          <w:szCs w:val="20"/>
        </w:rPr>
      </w:pPr>
      <w:r w:rsidRPr="002B33CE">
        <w:rPr>
          <w:rFonts w:ascii="Georgia" w:eastAsia="Times New Roman" w:hAnsi="Georgia" w:cs="Times New Roman"/>
          <w:b/>
          <w:color w:val="000000" w:themeColor="text1"/>
          <w:sz w:val="20"/>
          <w:szCs w:val="20"/>
        </w:rPr>
        <w:t>  </w:t>
      </w:r>
    </w:p>
    <w:p w14:paraId="67087A7C" w14:textId="6E7355D2" w:rsidR="00034974" w:rsidRPr="002B33CE" w:rsidRDefault="00034974" w:rsidP="00034974">
      <w:pPr>
        <w:spacing w:after="0"/>
        <w:jc w:val="both"/>
        <w:rPr>
          <w:rFonts w:ascii="Georgia" w:eastAsia="Times New Roman" w:hAnsi="Georgia" w:cs="Times New Roman"/>
          <w:b/>
          <w:color w:val="000000" w:themeColor="text1"/>
          <w:sz w:val="20"/>
          <w:szCs w:val="20"/>
        </w:rPr>
      </w:pPr>
      <w:r w:rsidRPr="002B33CE">
        <w:rPr>
          <w:rFonts w:ascii="Georgia" w:eastAsia="Times New Roman" w:hAnsi="Georgia" w:cs="Times New Roman"/>
          <w:b/>
          <w:color w:val="000000" w:themeColor="text1"/>
          <w:sz w:val="20"/>
          <w:szCs w:val="20"/>
        </w:rPr>
        <w:t>Fig</w:t>
      </w:r>
      <w:r w:rsidRPr="002B33CE">
        <w:rPr>
          <w:rFonts w:ascii="Georgia" w:eastAsia="Times New Roman" w:hAnsi="Georgia" w:cs="Times New Roman"/>
          <w:b/>
          <w:color w:val="000000" w:themeColor="text1"/>
          <w:sz w:val="20"/>
          <w:szCs w:val="20"/>
          <w:lang w:val="en-US"/>
        </w:rPr>
        <w:t>.</w:t>
      </w:r>
      <w:r w:rsidRPr="002B33CE">
        <w:rPr>
          <w:rFonts w:ascii="Georgia" w:eastAsia="Times New Roman" w:hAnsi="Georgia" w:cs="Times New Roman"/>
          <w:b/>
          <w:color w:val="000000" w:themeColor="text1"/>
          <w:sz w:val="20"/>
          <w:szCs w:val="20"/>
        </w:rPr>
        <w:t>2. Graph of lower class and upper class residence</w:t>
      </w:r>
    </w:p>
    <w:p w14:paraId="4B4FD1D2"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503138E9" w14:textId="77777777" w:rsidR="00034974" w:rsidRPr="002B33CE" w:rsidRDefault="00034974" w:rsidP="00034974">
      <w:pPr>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In lower class, students who live in rural areas before college reach 33.33% with a total of 8 students. Meanwhile, students living in urban areas reached 66.67% with total of 16 students. In the higher class 83.33% live in urban areas. Both low and high class students mostly live in urban areas. According to Mann Whitney U-test obtained significant value 0.187, showed no difference Living environment between lower class with high grade  </w:t>
      </w:r>
    </w:p>
    <w:p w14:paraId="0B611166" w14:textId="59B0591E" w:rsidR="00034974" w:rsidRPr="002B33CE" w:rsidRDefault="00034974" w:rsidP="00034974">
      <w:pPr>
        <w:pStyle w:val="NormalWeb"/>
        <w:spacing w:before="0" w:beforeAutospacing="0" w:after="0" w:afterAutospacing="0" w:line="276" w:lineRule="auto"/>
        <w:ind w:firstLine="720"/>
        <w:jc w:val="both"/>
        <w:rPr>
          <w:rFonts w:ascii="Georgia" w:hAnsi="Georgia"/>
          <w:color w:val="000000" w:themeColor="text1"/>
          <w:sz w:val="20"/>
          <w:szCs w:val="20"/>
        </w:rPr>
      </w:pPr>
      <w:r w:rsidRPr="002B33CE">
        <w:rPr>
          <w:rFonts w:ascii="Georgia" w:hAnsi="Georgia"/>
          <w:color w:val="000000" w:themeColor="text1"/>
          <w:sz w:val="20"/>
          <w:szCs w:val="20"/>
        </w:rPr>
        <w:t xml:space="preserve">Students who have the ability to think creatively above average come from families who live in urban areas. Information and environmental base activities that related to educational programs are many given in urban areas, besides that environmental problems as objects of study such as river pollution, vehicle pollution are more common in urban areas. Experience in direct contact with environmental problems can make individuals think to find solutions to problems by getting used to expressing ideas, however the problem is that some lecturers / teachers do not use authentic learning strategies that relate to the surrounding environment in urban area and rural also.` According to </w:t>
      </w:r>
      <w:r w:rsidRPr="002B33CE">
        <w:rPr>
          <w:rFonts w:ascii="Georgia" w:hAnsi="Georgia"/>
          <w:color w:val="000000" w:themeColor="text1"/>
          <w:sz w:val="20"/>
          <w:szCs w:val="20"/>
        </w:rPr>
        <w:fldChar w:fldCharType="begin" w:fldLock="1"/>
      </w:r>
      <w:r w:rsidRPr="002B33CE">
        <w:rPr>
          <w:rFonts w:ascii="Georgia" w:hAnsi="Georgia"/>
          <w:color w:val="000000" w:themeColor="text1"/>
          <w:sz w:val="20"/>
          <w:szCs w:val="20"/>
        </w:rPr>
        <w:instrText>ADDIN CSL_CITATION {"citationItems":[{"id":"ITEM-1","itemData":{"author":[{"dropping-particle":"","family":"Prayitno","given":"","non-dropping-particle":"","parse-names":false,"suffix":""},{"dropping-particle":"","family":"Khaidir","given":"A","non-dropping-particle":"","parse-names":false,"suffix":""}],"id":"ITEM-1","issued":{"date-parts":[["2011"]]},"number-of-pages":"268-273","publisher":"UNP Press","publisher-place":"Padang","title":"Model Pendidikan Karakter Cerdas","type":"book"},"uris":["http://www.mendeley.com/documents/?uuid=727d1d5b-3af3-4148-ba2c-90326cb1e21f"]}],"mendeley":{"formattedCitation":"(Prayitno &amp; Khaidir, 2011)","plainTextFormattedCitation":"(Prayitno &amp; Khaidir, 2011)","previouslyFormattedCitation":"(Prayitno &amp; Khaidir, 2011)"},"properties":{"noteIndex":0},"schema":"https://github.com/citation-style-language/schema/raw/master/csl-citation.json"}</w:instrText>
      </w:r>
      <w:r w:rsidRPr="002B33CE">
        <w:rPr>
          <w:rFonts w:ascii="Georgia" w:hAnsi="Georgia"/>
          <w:color w:val="000000" w:themeColor="text1"/>
          <w:sz w:val="20"/>
          <w:szCs w:val="20"/>
        </w:rPr>
        <w:fldChar w:fldCharType="separate"/>
      </w:r>
      <w:r w:rsidRPr="002B33CE">
        <w:rPr>
          <w:rFonts w:ascii="Georgia" w:hAnsi="Georgia"/>
          <w:noProof/>
          <w:color w:val="000000" w:themeColor="text1"/>
          <w:sz w:val="20"/>
          <w:szCs w:val="20"/>
        </w:rPr>
        <w:t>(Prayitno &amp; Khaidir, 2011)</w:t>
      </w:r>
      <w:r w:rsidRPr="002B33CE">
        <w:rPr>
          <w:rFonts w:ascii="Georgia" w:hAnsi="Georgia"/>
          <w:color w:val="000000" w:themeColor="text1"/>
          <w:sz w:val="20"/>
          <w:szCs w:val="20"/>
        </w:rPr>
        <w:fldChar w:fldCharType="end"/>
      </w:r>
      <w:r w:rsidRPr="002B33CE">
        <w:rPr>
          <w:rFonts w:ascii="Georgia" w:hAnsi="Georgia"/>
          <w:color w:val="000000" w:themeColor="text1"/>
          <w:sz w:val="20"/>
          <w:szCs w:val="20"/>
        </w:rPr>
        <w:t xml:space="preserve"> the indicators of intelligence that accompany the character's behavior are : active, dynamic and directed, analytical and objective, aspirational, creative and innovative, anticipatory, open-minded and forward, and seeking solutions. Teacher/lecturer has very important in building that character behavior.</w:t>
      </w:r>
    </w:p>
    <w:p w14:paraId="5D57A93E" w14:textId="77777777" w:rsidR="00034974" w:rsidRPr="002B33CE" w:rsidRDefault="00034974" w:rsidP="00034974">
      <w:pPr>
        <w:pStyle w:val="NormalWeb"/>
        <w:spacing w:before="0" w:beforeAutospacing="0" w:after="0" w:afterAutospacing="0" w:line="276" w:lineRule="auto"/>
        <w:ind w:firstLine="720"/>
        <w:jc w:val="both"/>
        <w:rPr>
          <w:rFonts w:ascii="Georgia" w:hAnsi="Georgia"/>
          <w:color w:val="000000" w:themeColor="text1"/>
          <w:sz w:val="20"/>
          <w:szCs w:val="20"/>
        </w:rPr>
      </w:pPr>
    </w:p>
    <w:p w14:paraId="25E525DC"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Academic Score</w:t>
      </w:r>
    </w:p>
    <w:p w14:paraId="62EA3E6A"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Correlation beetwen academic score achievement</w:t>
      </w:r>
      <w:r w:rsidRPr="002B33CE">
        <w:rPr>
          <w:rFonts w:ascii="Georgia" w:eastAsia="Times New Roman" w:hAnsi="Georgia" w:cs="Times New Roman"/>
          <w:b/>
          <w:color w:val="000000" w:themeColor="text1"/>
          <w:sz w:val="20"/>
          <w:szCs w:val="20"/>
        </w:rPr>
        <w:t xml:space="preserve"> </w:t>
      </w:r>
      <w:r w:rsidRPr="002B33CE">
        <w:rPr>
          <w:rFonts w:ascii="Georgia" w:eastAsia="Times New Roman" w:hAnsi="Georgia" w:cs="Times New Roman"/>
          <w:color w:val="000000" w:themeColor="text1"/>
          <w:sz w:val="20"/>
          <w:szCs w:val="20"/>
        </w:rPr>
        <w:t>with creative thinking ability in solving environmental problem presented in table 3</w:t>
      </w:r>
    </w:p>
    <w:p w14:paraId="4F694C03"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Table 3.  Academic score achievement</w:t>
      </w:r>
      <w:r w:rsidRPr="002B33CE">
        <w:rPr>
          <w:rFonts w:ascii="Georgia" w:eastAsia="Times New Roman" w:hAnsi="Georgia" w:cs="Times New Roman"/>
          <w:b/>
          <w:color w:val="000000" w:themeColor="text1"/>
          <w:sz w:val="20"/>
          <w:szCs w:val="20"/>
        </w:rPr>
        <w:t xml:space="preserve"> </w:t>
      </w:r>
      <w:r w:rsidRPr="002B33CE">
        <w:rPr>
          <w:rFonts w:ascii="Georgia" w:eastAsia="Times New Roman" w:hAnsi="Georgia" w:cs="Times New Roman"/>
          <w:color w:val="000000" w:themeColor="text1"/>
          <w:sz w:val="20"/>
          <w:szCs w:val="20"/>
        </w:rPr>
        <w:t>of lower and upper class students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9"/>
        <w:gridCol w:w="1548"/>
        <w:gridCol w:w="1548"/>
      </w:tblGrid>
      <w:tr w:rsidR="002B33CE" w:rsidRPr="002B33CE" w14:paraId="5CB4A6EF" w14:textId="77777777" w:rsidTr="00034974">
        <w:tc>
          <w:tcPr>
            <w:tcW w:w="1489" w:type="dxa"/>
            <w:tcBorders>
              <w:top w:val="single" w:sz="4" w:space="0" w:color="auto"/>
              <w:bottom w:val="single" w:sz="4" w:space="0" w:color="auto"/>
            </w:tcBorders>
          </w:tcPr>
          <w:p w14:paraId="1595F153" w14:textId="77777777" w:rsidR="00034974" w:rsidRPr="002B33CE" w:rsidRDefault="00034974" w:rsidP="00DD76F4">
            <w:pPr>
              <w:pStyle w:val="ListParagraph"/>
              <w:spacing w:line="276" w:lineRule="auto"/>
              <w:ind w:left="0"/>
              <w:jc w:val="both"/>
              <w:textAlignment w:val="baseline"/>
              <w:rPr>
                <w:rFonts w:ascii="Georgia" w:hAnsi="Georgia"/>
                <w:bCs/>
                <w:color w:val="000000" w:themeColor="text1"/>
                <w:lang w:val="id-ID"/>
              </w:rPr>
            </w:pPr>
            <w:r w:rsidRPr="002B33CE">
              <w:rPr>
                <w:rFonts w:ascii="Georgia" w:eastAsia="Times New Roman" w:hAnsi="Georgia"/>
                <w:color w:val="000000" w:themeColor="text1"/>
                <w:lang w:eastAsia="id-ID"/>
              </w:rPr>
              <w:t xml:space="preserve"> Academic score achievement</w:t>
            </w:r>
          </w:p>
        </w:tc>
        <w:tc>
          <w:tcPr>
            <w:tcW w:w="1548" w:type="dxa"/>
            <w:tcBorders>
              <w:top w:val="single" w:sz="4" w:space="0" w:color="auto"/>
              <w:bottom w:val="single" w:sz="4" w:space="0" w:color="auto"/>
            </w:tcBorders>
          </w:tcPr>
          <w:p w14:paraId="3457B5A6" w14:textId="77777777" w:rsidR="00034974" w:rsidRPr="002B33CE" w:rsidRDefault="00034974" w:rsidP="00DD76F4">
            <w:pPr>
              <w:pStyle w:val="ListParagraph"/>
              <w:spacing w:line="276" w:lineRule="auto"/>
              <w:ind w:left="0"/>
              <w:jc w:val="both"/>
              <w:textAlignment w:val="baseline"/>
              <w:rPr>
                <w:rFonts w:ascii="Georgia" w:hAnsi="Georgia"/>
                <w:bCs/>
                <w:color w:val="000000" w:themeColor="text1"/>
                <w:lang w:val="id-ID"/>
              </w:rPr>
            </w:pPr>
            <w:r w:rsidRPr="002B33CE">
              <w:rPr>
                <w:rFonts w:ascii="Georgia" w:hAnsi="Georgia"/>
                <w:bCs/>
                <w:color w:val="000000" w:themeColor="text1"/>
              </w:rPr>
              <w:t>Fre</w:t>
            </w:r>
            <w:r w:rsidRPr="002B33CE">
              <w:rPr>
                <w:rFonts w:ascii="Georgia" w:hAnsi="Georgia"/>
                <w:bCs/>
                <w:color w:val="000000" w:themeColor="text1"/>
                <w:lang w:val="id-ID"/>
              </w:rPr>
              <w:t>q</w:t>
            </w:r>
            <w:r w:rsidRPr="002B33CE">
              <w:rPr>
                <w:rFonts w:ascii="Georgia" w:hAnsi="Georgia"/>
                <w:bCs/>
                <w:color w:val="000000" w:themeColor="text1"/>
              </w:rPr>
              <w:t>uen</w:t>
            </w:r>
            <w:r w:rsidRPr="002B33CE">
              <w:rPr>
                <w:rFonts w:ascii="Georgia" w:hAnsi="Georgia"/>
                <w:bCs/>
                <w:color w:val="000000" w:themeColor="text1"/>
                <w:lang w:val="id-ID"/>
              </w:rPr>
              <w:t xml:space="preserve">cy </w:t>
            </w:r>
          </w:p>
          <w:p w14:paraId="23E0797F" w14:textId="77777777" w:rsidR="00034974" w:rsidRPr="002B33CE" w:rsidRDefault="00034974" w:rsidP="00DD76F4">
            <w:pPr>
              <w:pStyle w:val="ListParagraph"/>
              <w:spacing w:line="276" w:lineRule="auto"/>
              <w:ind w:left="0"/>
              <w:jc w:val="both"/>
              <w:textAlignment w:val="baseline"/>
              <w:rPr>
                <w:rFonts w:ascii="Georgia" w:hAnsi="Georgia"/>
                <w:bCs/>
                <w:color w:val="000000" w:themeColor="text1"/>
                <w:lang w:val="id-ID"/>
              </w:rPr>
            </w:pPr>
            <w:r w:rsidRPr="002B33CE">
              <w:rPr>
                <w:rFonts w:ascii="Georgia" w:hAnsi="Georgia"/>
                <w:bCs/>
                <w:color w:val="000000" w:themeColor="text1"/>
                <w:lang w:val="id-ID"/>
              </w:rPr>
              <w:t>(lower class)</w:t>
            </w:r>
          </w:p>
        </w:tc>
        <w:tc>
          <w:tcPr>
            <w:tcW w:w="1548" w:type="dxa"/>
            <w:tcBorders>
              <w:top w:val="single" w:sz="4" w:space="0" w:color="auto"/>
              <w:bottom w:val="single" w:sz="4" w:space="0" w:color="auto"/>
            </w:tcBorders>
          </w:tcPr>
          <w:p w14:paraId="75A1CEF5" w14:textId="77777777" w:rsidR="00034974" w:rsidRPr="002B33CE" w:rsidRDefault="00034974" w:rsidP="00DD76F4">
            <w:pPr>
              <w:pStyle w:val="ListParagraph"/>
              <w:spacing w:line="276" w:lineRule="auto"/>
              <w:ind w:left="0"/>
              <w:jc w:val="both"/>
              <w:textAlignment w:val="baseline"/>
              <w:rPr>
                <w:rFonts w:ascii="Georgia" w:hAnsi="Georgia"/>
                <w:bCs/>
                <w:color w:val="000000" w:themeColor="text1"/>
                <w:lang w:val="id-ID"/>
              </w:rPr>
            </w:pPr>
            <w:r w:rsidRPr="002B33CE">
              <w:rPr>
                <w:rFonts w:ascii="Georgia" w:hAnsi="Georgia"/>
                <w:bCs/>
                <w:color w:val="000000" w:themeColor="text1"/>
              </w:rPr>
              <w:t>Fre</w:t>
            </w:r>
            <w:r w:rsidRPr="002B33CE">
              <w:rPr>
                <w:rFonts w:ascii="Georgia" w:hAnsi="Georgia"/>
                <w:bCs/>
                <w:color w:val="000000" w:themeColor="text1"/>
                <w:lang w:val="id-ID"/>
              </w:rPr>
              <w:t>q</w:t>
            </w:r>
            <w:r w:rsidRPr="002B33CE">
              <w:rPr>
                <w:rFonts w:ascii="Georgia" w:hAnsi="Georgia"/>
                <w:bCs/>
                <w:color w:val="000000" w:themeColor="text1"/>
              </w:rPr>
              <w:t>uen</w:t>
            </w:r>
            <w:r w:rsidRPr="002B33CE">
              <w:rPr>
                <w:rFonts w:ascii="Georgia" w:hAnsi="Georgia"/>
                <w:bCs/>
                <w:color w:val="000000" w:themeColor="text1"/>
                <w:lang w:val="id-ID"/>
              </w:rPr>
              <w:t>cy</w:t>
            </w:r>
          </w:p>
          <w:p w14:paraId="5B8D7454" w14:textId="77777777" w:rsidR="00034974" w:rsidRPr="002B33CE" w:rsidRDefault="00034974" w:rsidP="00DD76F4">
            <w:pPr>
              <w:pStyle w:val="ListParagraph"/>
              <w:spacing w:line="276" w:lineRule="auto"/>
              <w:ind w:left="0"/>
              <w:jc w:val="both"/>
              <w:textAlignment w:val="baseline"/>
              <w:rPr>
                <w:rFonts w:ascii="Georgia" w:hAnsi="Georgia"/>
                <w:bCs/>
                <w:color w:val="000000" w:themeColor="text1"/>
                <w:lang w:val="id-ID"/>
              </w:rPr>
            </w:pPr>
            <w:r w:rsidRPr="002B33CE">
              <w:rPr>
                <w:rFonts w:ascii="Georgia" w:hAnsi="Georgia"/>
                <w:bCs/>
                <w:color w:val="000000" w:themeColor="text1"/>
                <w:lang w:val="id-ID"/>
              </w:rPr>
              <w:t>( higher class)</w:t>
            </w:r>
          </w:p>
        </w:tc>
      </w:tr>
      <w:tr w:rsidR="002B33CE" w:rsidRPr="002B33CE" w14:paraId="2422AD81" w14:textId="77777777" w:rsidTr="00034974">
        <w:tc>
          <w:tcPr>
            <w:tcW w:w="1489" w:type="dxa"/>
            <w:tcBorders>
              <w:top w:val="single" w:sz="4" w:space="0" w:color="auto"/>
            </w:tcBorders>
          </w:tcPr>
          <w:p w14:paraId="197518A9"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0.00 – 1.00</w:t>
            </w:r>
          </w:p>
        </w:tc>
        <w:tc>
          <w:tcPr>
            <w:tcW w:w="1548" w:type="dxa"/>
            <w:tcBorders>
              <w:top w:val="single" w:sz="4" w:space="0" w:color="auto"/>
            </w:tcBorders>
          </w:tcPr>
          <w:p w14:paraId="3C3FCC35"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0</w:t>
            </w:r>
          </w:p>
        </w:tc>
        <w:tc>
          <w:tcPr>
            <w:tcW w:w="1548" w:type="dxa"/>
            <w:tcBorders>
              <w:top w:val="single" w:sz="4" w:space="0" w:color="auto"/>
            </w:tcBorders>
          </w:tcPr>
          <w:p w14:paraId="7689EBA9"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0</w:t>
            </w:r>
          </w:p>
        </w:tc>
      </w:tr>
      <w:tr w:rsidR="002B33CE" w:rsidRPr="002B33CE" w14:paraId="4EB6C7B8" w14:textId="77777777" w:rsidTr="00034974">
        <w:tc>
          <w:tcPr>
            <w:tcW w:w="1489" w:type="dxa"/>
          </w:tcPr>
          <w:p w14:paraId="6166F21F"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1.01 – 2.00</w:t>
            </w:r>
          </w:p>
        </w:tc>
        <w:tc>
          <w:tcPr>
            <w:tcW w:w="1548" w:type="dxa"/>
          </w:tcPr>
          <w:p w14:paraId="45637B4F"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0</w:t>
            </w:r>
          </w:p>
        </w:tc>
        <w:tc>
          <w:tcPr>
            <w:tcW w:w="1548" w:type="dxa"/>
          </w:tcPr>
          <w:p w14:paraId="147E5CB2"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0</w:t>
            </w:r>
          </w:p>
        </w:tc>
      </w:tr>
      <w:tr w:rsidR="002B33CE" w:rsidRPr="002B33CE" w14:paraId="5F21D151" w14:textId="77777777" w:rsidTr="00034974">
        <w:tc>
          <w:tcPr>
            <w:tcW w:w="1489" w:type="dxa"/>
          </w:tcPr>
          <w:p w14:paraId="5518BA61"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2.01 – 3.00</w:t>
            </w:r>
          </w:p>
        </w:tc>
        <w:tc>
          <w:tcPr>
            <w:tcW w:w="1548" w:type="dxa"/>
          </w:tcPr>
          <w:p w14:paraId="30B30197"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4</w:t>
            </w:r>
          </w:p>
        </w:tc>
        <w:tc>
          <w:tcPr>
            <w:tcW w:w="1548" w:type="dxa"/>
          </w:tcPr>
          <w:p w14:paraId="5E50DC57"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1</w:t>
            </w:r>
          </w:p>
        </w:tc>
      </w:tr>
      <w:tr w:rsidR="002B33CE" w:rsidRPr="002B33CE" w14:paraId="625A90FE" w14:textId="77777777" w:rsidTr="00034974">
        <w:tc>
          <w:tcPr>
            <w:tcW w:w="1489" w:type="dxa"/>
          </w:tcPr>
          <w:p w14:paraId="2F67F6DB"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lang w:val="id-ID"/>
              </w:rPr>
            </w:pPr>
            <w:r w:rsidRPr="002B33CE">
              <w:rPr>
                <w:rFonts w:ascii="Georgia" w:hAnsi="Georgia"/>
                <w:bCs/>
                <w:color w:val="000000" w:themeColor="text1"/>
              </w:rPr>
              <w:t>3.01 – 4.00</w:t>
            </w:r>
          </w:p>
        </w:tc>
        <w:tc>
          <w:tcPr>
            <w:tcW w:w="1548" w:type="dxa"/>
          </w:tcPr>
          <w:p w14:paraId="4275EEA6"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18</w:t>
            </w:r>
          </w:p>
        </w:tc>
        <w:tc>
          <w:tcPr>
            <w:tcW w:w="1548" w:type="dxa"/>
          </w:tcPr>
          <w:p w14:paraId="41512DE5" w14:textId="77777777" w:rsidR="00034974" w:rsidRPr="002B33CE" w:rsidRDefault="00034974" w:rsidP="00DD76F4">
            <w:pPr>
              <w:pStyle w:val="ListParagraph"/>
              <w:spacing w:line="276" w:lineRule="auto"/>
              <w:ind w:left="0"/>
              <w:jc w:val="center"/>
              <w:textAlignment w:val="baseline"/>
              <w:rPr>
                <w:rFonts w:ascii="Georgia" w:hAnsi="Georgia"/>
                <w:bCs/>
                <w:color w:val="000000" w:themeColor="text1"/>
              </w:rPr>
            </w:pPr>
            <w:r w:rsidRPr="002B33CE">
              <w:rPr>
                <w:rFonts w:ascii="Georgia" w:hAnsi="Georgia"/>
                <w:bCs/>
                <w:color w:val="000000" w:themeColor="text1"/>
              </w:rPr>
              <w:t>23</w:t>
            </w:r>
          </w:p>
        </w:tc>
      </w:tr>
    </w:tbl>
    <w:p w14:paraId="47794234" w14:textId="07048518" w:rsidR="00034974" w:rsidRPr="002B33CE" w:rsidRDefault="00034974" w:rsidP="00034974">
      <w:pPr>
        <w:spacing w:before="240" w:after="240"/>
        <w:ind w:firstLine="720"/>
        <w:jc w:val="both"/>
        <w:rPr>
          <w:rFonts w:ascii="Georgia" w:eastAsia="Times New Roman" w:hAnsi="Georgia" w:cs="Times New Roman"/>
          <w:bCs/>
          <w:color w:val="000000" w:themeColor="text1"/>
          <w:sz w:val="20"/>
          <w:szCs w:val="20"/>
        </w:rPr>
      </w:pPr>
      <w:r w:rsidRPr="002B33CE">
        <w:rPr>
          <w:rFonts w:ascii="Georgia" w:eastAsia="Times New Roman" w:hAnsi="Georgia" w:cs="Times New Roman"/>
          <w:color w:val="000000" w:themeColor="text1"/>
          <w:sz w:val="20"/>
          <w:szCs w:val="20"/>
        </w:rPr>
        <w:t xml:space="preserve">Academic score achievement in the lower class students that value 3.00 and above is 18 students in total. In higher class almost all students have a competency achievement index with the predicate satisfactory to very satisfying. A total of 23 students have academic score achievement ranging from 3.01 to 4.00. Based on </w:t>
      </w:r>
      <w:r w:rsidRPr="002B33CE">
        <w:rPr>
          <w:rFonts w:ascii="Georgia" w:eastAsia="Times New Roman" w:hAnsi="Georgia" w:cs="Times New Roman"/>
          <w:color w:val="000000" w:themeColor="text1"/>
          <w:sz w:val="20"/>
          <w:szCs w:val="20"/>
        </w:rPr>
        <w:lastRenderedPageBreak/>
        <w:t xml:space="preserve">independent t-test  obtained significant value 0.061, showed no difference in the academic achievement of low grade with high grade. Students who have high academic achievement should have higher creative thinking skills, </w:t>
      </w:r>
      <w:r w:rsidRPr="002B33CE">
        <w:rPr>
          <w:rFonts w:ascii="Georgia" w:hAnsi="Georgia" w:cs="Times New Roman"/>
          <w:color w:val="000000" w:themeColor="text1"/>
          <w:sz w:val="20"/>
          <w:szCs w:val="20"/>
        </w:rPr>
        <w:t>Hardiman (2018) stated that a positive and significant relationship between creative thinking skills and learning achievement. In this research,</w:t>
      </w:r>
      <w:r w:rsidRPr="002B33CE">
        <w:rPr>
          <w:rFonts w:ascii="Georgia" w:eastAsia="Times New Roman" w:hAnsi="Georgia" w:cs="Times New Roman"/>
          <w:b/>
          <w:bCs/>
          <w:color w:val="000000" w:themeColor="text1"/>
          <w:sz w:val="20"/>
          <w:szCs w:val="20"/>
        </w:rPr>
        <w:t xml:space="preserve"> </w:t>
      </w:r>
      <w:r w:rsidRPr="002B33CE">
        <w:rPr>
          <w:rFonts w:ascii="Georgia" w:eastAsia="Times New Roman" w:hAnsi="Georgia" w:cs="Times New Roman"/>
          <w:bCs/>
          <w:color w:val="000000" w:themeColor="text1"/>
          <w:sz w:val="20"/>
          <w:szCs w:val="20"/>
        </w:rPr>
        <w:t xml:space="preserve"> it was found that there were more high-class students who had </w:t>
      </w:r>
      <w:r w:rsidRPr="002B33CE">
        <w:rPr>
          <w:rFonts w:ascii="Georgia" w:eastAsia="Times New Roman" w:hAnsi="Georgia" w:cs="Times New Roman"/>
          <w:color w:val="000000" w:themeColor="text1"/>
          <w:sz w:val="20"/>
          <w:szCs w:val="20"/>
        </w:rPr>
        <w:t>academic score achievement</w:t>
      </w:r>
      <w:r w:rsidRPr="002B33CE">
        <w:rPr>
          <w:rFonts w:ascii="Georgia" w:eastAsia="Times New Roman" w:hAnsi="Georgia" w:cs="Times New Roman"/>
          <w:bCs/>
          <w:color w:val="000000" w:themeColor="text1"/>
          <w:sz w:val="20"/>
          <w:szCs w:val="20"/>
        </w:rPr>
        <w:t xml:space="preserve"> between 3.01-4.00, but had a similar </w:t>
      </w:r>
      <w:r w:rsidRPr="002B33CE">
        <w:rPr>
          <w:rFonts w:ascii="Georgia" w:eastAsia="Times New Roman" w:hAnsi="Georgia" w:cs="Times New Roman"/>
          <w:color w:val="000000" w:themeColor="text1"/>
          <w:sz w:val="20"/>
          <w:szCs w:val="20"/>
        </w:rPr>
        <w:t xml:space="preserve">academic score achievement </w:t>
      </w:r>
      <w:r w:rsidRPr="002B33CE">
        <w:rPr>
          <w:rFonts w:ascii="Georgia" w:eastAsia="Times New Roman" w:hAnsi="Georgia" w:cs="Times New Roman"/>
          <w:bCs/>
          <w:color w:val="000000" w:themeColor="text1"/>
          <w:sz w:val="20"/>
          <w:szCs w:val="20"/>
        </w:rPr>
        <w:t>between high and low classes.</w:t>
      </w:r>
    </w:p>
    <w:p w14:paraId="5372ADD4" w14:textId="77777777" w:rsidR="00034974" w:rsidRPr="002B33CE" w:rsidRDefault="00034974" w:rsidP="00034974">
      <w:pPr>
        <w:spacing w:before="240" w:after="240"/>
        <w:ind w:firstLine="720"/>
        <w:jc w:val="both"/>
        <w:rPr>
          <w:rFonts w:ascii="Georgia" w:eastAsia="Times New Roman" w:hAnsi="Georgia" w:cs="Times New Roman"/>
          <w:color w:val="000000" w:themeColor="text1"/>
          <w:sz w:val="20"/>
          <w:szCs w:val="20"/>
        </w:rPr>
      </w:pPr>
    </w:p>
    <w:p w14:paraId="11EDAE3E"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Academic Experience</w:t>
      </w:r>
    </w:p>
    <w:p w14:paraId="664242D5"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Correlation beetwen academic experience with creative thinking ability in solving environmental problem presented in Figure 3</w:t>
      </w:r>
    </w:p>
    <w:p w14:paraId="170ADC11"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16A9473A"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   </w:t>
      </w:r>
      <w:r w:rsidRPr="002B33CE">
        <w:rPr>
          <w:rFonts w:ascii="Georgia" w:hAnsi="Georgia"/>
          <w:noProof/>
          <w:color w:val="000000" w:themeColor="text1"/>
          <w:sz w:val="20"/>
          <w:szCs w:val="20"/>
        </w:rPr>
        <w:drawing>
          <wp:inline distT="0" distB="0" distL="0" distR="0" wp14:anchorId="157D121A" wp14:editId="7A2C320E">
            <wp:extent cx="3048000" cy="2009775"/>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71E47BF"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5FB355C2" w14:textId="3401F49F" w:rsidR="00034974" w:rsidRPr="002B33CE" w:rsidRDefault="00034974" w:rsidP="00034974">
      <w:pPr>
        <w:spacing w:after="0"/>
        <w:jc w:val="both"/>
        <w:rPr>
          <w:rFonts w:ascii="Georgia" w:eastAsia="Times New Roman" w:hAnsi="Georgia" w:cs="Times New Roman"/>
          <w:b/>
          <w:color w:val="000000" w:themeColor="text1"/>
          <w:sz w:val="20"/>
          <w:szCs w:val="20"/>
        </w:rPr>
      </w:pPr>
      <w:r w:rsidRPr="002B33CE">
        <w:rPr>
          <w:rFonts w:ascii="Georgia" w:eastAsia="Times New Roman" w:hAnsi="Georgia" w:cs="Times New Roman"/>
          <w:b/>
          <w:color w:val="000000" w:themeColor="text1"/>
          <w:sz w:val="20"/>
          <w:szCs w:val="20"/>
        </w:rPr>
        <w:t>Fig</w:t>
      </w:r>
      <w:r w:rsidRPr="002B33CE">
        <w:rPr>
          <w:rFonts w:ascii="Georgia" w:eastAsia="Times New Roman" w:hAnsi="Georgia" w:cs="Times New Roman"/>
          <w:b/>
          <w:color w:val="000000" w:themeColor="text1"/>
          <w:sz w:val="20"/>
          <w:szCs w:val="20"/>
          <w:lang w:val="en-US"/>
        </w:rPr>
        <w:t xml:space="preserve">. </w:t>
      </w:r>
      <w:r w:rsidRPr="002B33CE">
        <w:rPr>
          <w:rFonts w:ascii="Georgia" w:eastAsia="Times New Roman" w:hAnsi="Georgia" w:cs="Times New Roman"/>
          <w:b/>
          <w:color w:val="000000" w:themeColor="text1"/>
          <w:sz w:val="20"/>
          <w:szCs w:val="20"/>
        </w:rPr>
        <w:t>3. Low class and upper class  Academic Experience</w:t>
      </w:r>
    </w:p>
    <w:p w14:paraId="7DEDD88D"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ab/>
      </w:r>
    </w:p>
    <w:p w14:paraId="28999AB3" w14:textId="77777777" w:rsidR="00034974" w:rsidRPr="002B33CE" w:rsidRDefault="00034974" w:rsidP="00034974">
      <w:pPr>
        <w:spacing w:after="0"/>
        <w:jc w:val="both"/>
        <w:rPr>
          <w:rFonts w:ascii="Georgia" w:hAnsi="Georgia" w:cs="Times New Roman"/>
          <w:color w:val="000000" w:themeColor="text1"/>
          <w:sz w:val="20"/>
          <w:szCs w:val="20"/>
        </w:rPr>
      </w:pPr>
      <w:r w:rsidRPr="002B33CE">
        <w:rPr>
          <w:rFonts w:ascii="Georgia" w:eastAsia="Times New Roman" w:hAnsi="Georgia" w:cs="Times New Roman"/>
          <w:color w:val="000000" w:themeColor="text1"/>
          <w:sz w:val="20"/>
          <w:szCs w:val="20"/>
        </w:rPr>
        <w:t xml:space="preserve">In the lower class, only few parts of students has academic experience of practical activities to process leaf waste into compost. Among students in the upper class, as many as 29.17% stated that they have had academic experience in making compost from leaves waste during middle school. According to Mann Whitney U-test obtained significant value of 0.05, indicating there are differences in academic experiences between  lowerclass to upper class. Academic experience in the form of direct environmental management tends to increase students' creative thinking skills. </w:t>
      </w:r>
      <w:r w:rsidRPr="002B33CE">
        <w:rPr>
          <w:rFonts w:ascii="Georgia" w:hAnsi="Georgia" w:cs="Times New Roman"/>
          <w:color w:val="000000" w:themeColor="text1"/>
          <w:sz w:val="20"/>
          <w:szCs w:val="20"/>
        </w:rPr>
        <w:t xml:space="preserve"> Turkmen </w:t>
      </w:r>
      <w:r w:rsidRPr="002B33CE">
        <w:rPr>
          <w:rFonts w:ascii="Georgia" w:hAnsi="Georgia" w:cs="Times New Roman"/>
          <w:color w:val="000000" w:themeColor="text1"/>
          <w:sz w:val="20"/>
          <w:szCs w:val="20"/>
        </w:rPr>
        <w:fldChar w:fldCharType="begin" w:fldLock="1"/>
      </w:r>
      <w:r w:rsidRPr="002B33CE">
        <w:rPr>
          <w:rFonts w:ascii="Georgia" w:hAnsi="Georgia" w:cs="Times New Roman"/>
          <w:color w:val="000000" w:themeColor="text1"/>
          <w:sz w:val="20"/>
          <w:szCs w:val="20"/>
        </w:rPr>
        <w:instrText>ADDIN CSL_CITATION {"citationItems":[{"id":"ITEM-1","itemData":{"author":[{"dropping-particle":"","family":"Hakan","given":"Türkmen","non-dropping-particle":"","parse-names":false,"suffix":""},{"dropping-particle":"","family":"Mehmed","given":"S","non-dropping-particle":"","parse-names":false,"suffix":""}],"container-title":"Journal of Educaional and Instructional Studies in the World","id":"ITEM-1","issued":{"date-parts":[["2015"]]},"title":"Students Creative Thinking Ability of Biology Education Students in Problem Solving about Animal Ecology","type":"article-journal"},"uris":["http://www.mendeley.com/documents/?uuid=d56600d5-e050-4f56-8ac6-59b7f369b6db"]}],"mendeley":{"formattedCitation":"(Hakan &amp; Mehmed, 2015)","manualFormatting":"(2015)","plainTextFormattedCitation":"(Hakan &amp; Mehmed, 2015)","previouslyFormattedCitation":"(Hakan &amp; Mehmed, 2015)"},"properties":{"noteIndex":0},"schema":"https://github.com/citation-style-language/schema/raw/master/csl-citation.json"}</w:instrText>
      </w:r>
      <w:r w:rsidRPr="002B33CE">
        <w:rPr>
          <w:rFonts w:ascii="Georgia" w:hAnsi="Georgia" w:cs="Times New Roman"/>
          <w:color w:val="000000" w:themeColor="text1"/>
          <w:sz w:val="20"/>
          <w:szCs w:val="20"/>
        </w:rPr>
        <w:fldChar w:fldCharType="separate"/>
      </w:r>
      <w:r w:rsidRPr="002B33CE">
        <w:rPr>
          <w:rFonts w:ascii="Georgia" w:hAnsi="Georgia" w:cs="Times New Roman"/>
          <w:noProof/>
          <w:color w:val="000000" w:themeColor="text1"/>
          <w:sz w:val="20"/>
          <w:szCs w:val="20"/>
        </w:rPr>
        <w:t>(2015)</w:t>
      </w:r>
      <w:r w:rsidRPr="002B33CE">
        <w:rPr>
          <w:rFonts w:ascii="Georgia" w:hAnsi="Georgia" w:cs="Times New Roman"/>
          <w:color w:val="000000" w:themeColor="text1"/>
          <w:sz w:val="20"/>
          <w:szCs w:val="20"/>
        </w:rPr>
        <w:fldChar w:fldCharType="end"/>
      </w:r>
      <w:r w:rsidRPr="002B33CE">
        <w:rPr>
          <w:rFonts w:ascii="Georgia" w:hAnsi="Georgia" w:cs="Times New Roman"/>
          <w:color w:val="000000" w:themeColor="text1"/>
          <w:sz w:val="20"/>
          <w:szCs w:val="20"/>
        </w:rPr>
        <w:t xml:space="preserve"> stated that students who have a lot of knowledge and experience have higher mental imagination in creativity</w:t>
      </w:r>
    </w:p>
    <w:p w14:paraId="27D09A13"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08B3849A"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Openness</w:t>
      </w:r>
    </w:p>
    <w:p w14:paraId="69F2B62D"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Correlation between openess with creative thinking ability in solving environmental problem presented in Figure 4</w:t>
      </w:r>
    </w:p>
    <w:p w14:paraId="1F43B8F6"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hAnsi="Georgia"/>
          <w:noProof/>
          <w:color w:val="000000" w:themeColor="text1"/>
          <w:sz w:val="20"/>
          <w:szCs w:val="20"/>
        </w:rPr>
        <w:drawing>
          <wp:inline distT="0" distB="0" distL="0" distR="0" wp14:anchorId="0C892F49" wp14:editId="05E7C217">
            <wp:extent cx="2809875" cy="226695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41B7C54"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w:t>
      </w:r>
    </w:p>
    <w:p w14:paraId="2D7D5684" w14:textId="5A414434" w:rsidR="00034974" w:rsidRPr="002B33CE" w:rsidRDefault="00034974" w:rsidP="00034974">
      <w:pPr>
        <w:spacing w:after="0"/>
        <w:jc w:val="both"/>
        <w:rPr>
          <w:rFonts w:ascii="Georgia" w:eastAsia="Times New Roman" w:hAnsi="Georgia" w:cs="Times New Roman"/>
          <w:b/>
          <w:color w:val="000000" w:themeColor="text1"/>
          <w:sz w:val="20"/>
          <w:szCs w:val="20"/>
        </w:rPr>
      </w:pPr>
      <w:r w:rsidRPr="002B33CE">
        <w:rPr>
          <w:rFonts w:ascii="Georgia" w:eastAsia="Times New Roman" w:hAnsi="Georgia" w:cs="Times New Roman"/>
          <w:b/>
          <w:color w:val="000000" w:themeColor="text1"/>
          <w:sz w:val="20"/>
          <w:szCs w:val="20"/>
        </w:rPr>
        <w:t>Fig</w:t>
      </w:r>
      <w:r w:rsidRPr="002B33CE">
        <w:rPr>
          <w:rFonts w:ascii="Georgia" w:eastAsia="Times New Roman" w:hAnsi="Georgia" w:cs="Times New Roman"/>
          <w:b/>
          <w:color w:val="000000" w:themeColor="text1"/>
          <w:sz w:val="20"/>
          <w:szCs w:val="20"/>
          <w:lang w:val="en-US"/>
        </w:rPr>
        <w:t>.</w:t>
      </w:r>
      <w:r w:rsidRPr="002B33CE">
        <w:rPr>
          <w:rFonts w:ascii="Georgia" w:eastAsia="Times New Roman" w:hAnsi="Georgia" w:cs="Times New Roman"/>
          <w:b/>
          <w:color w:val="000000" w:themeColor="text1"/>
          <w:sz w:val="20"/>
          <w:szCs w:val="20"/>
        </w:rPr>
        <w:t xml:space="preserve"> 4. Openness of lower and upper class </w:t>
      </w:r>
    </w:p>
    <w:p w14:paraId="3C6CE20A"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38287C8A" w14:textId="77777777" w:rsidR="00034974" w:rsidRPr="002B33CE" w:rsidRDefault="00034974" w:rsidP="00034974">
      <w:pPr>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Students in this lower class have openness in their families. They always discuss in making a decision. In the table above, the percentage of openness in the family reaches 66.67% in the ‘always’ category. In the upper class, all students have an open family that is always having discussions with other family members before making decisions. based Mann Whitney-U test obtained value 0.02 significant, indicating that there is a difference in family environments openness in low-class and high-class. Creative thinking skills tend to be higher in students who have an open cultured family environment. An open environment habituate people in expressing ideas to solve problems in the family, so that this experience will bring good habits to thinking in other conditions or environments. According to Uno</w:t>
      </w:r>
      <w:r w:rsidRPr="002B33CE">
        <w:rPr>
          <w:rFonts w:ascii="Georgia" w:eastAsia="Times New Roman" w:hAnsi="Georgia" w:cs="Times New Roman"/>
          <w:color w:val="000000" w:themeColor="text1"/>
          <w:sz w:val="20"/>
          <w:szCs w:val="20"/>
          <w:lang w:val="en-US"/>
        </w:rPr>
        <w:t xml:space="preserve"> </w:t>
      </w:r>
      <w:r w:rsidRPr="002B33CE">
        <w:rPr>
          <w:rFonts w:ascii="Georgia" w:eastAsia="Times New Roman" w:hAnsi="Georgia" w:cs="Times New Roman"/>
          <w:color w:val="000000" w:themeColor="text1"/>
          <w:sz w:val="20"/>
          <w:szCs w:val="20"/>
        </w:rPr>
        <w:fldChar w:fldCharType="begin" w:fldLock="1"/>
      </w:r>
      <w:r w:rsidRPr="002B33CE">
        <w:rPr>
          <w:rFonts w:ascii="Georgia" w:eastAsia="Times New Roman" w:hAnsi="Georgia" w:cs="Times New Roman"/>
          <w:color w:val="000000" w:themeColor="text1"/>
          <w:sz w:val="20"/>
          <w:szCs w:val="20"/>
        </w:rPr>
        <w:instrText>ADDIN CSL_CITATION {"citationItems":[{"id":"ITEM-1","itemData":{"author":[{"dropping-particle":"","family":"Uno","given":"N","non-dropping-particle":"","parse-names":false,"suffix":""}],"id":"ITEM-1","issued":{"date-parts":[["2014"]]},"publisher":"Bumi Aksara","publisher-place":"Jakarta","title":"Belajar dengan Pendekatan PAIKEM","type":"book"},"uris":["http://www.mendeley.com/documents/?uuid=cb4fcdeb-dbb7-4b6a-9cc0-ede9ddf1bb00"]}],"mendeley":{"formattedCitation":"(Uno, 2014)","manualFormatting":"(2014)","plainTextFormattedCitation":"(Uno, 2014)","previouslyFormattedCitation":"(Uno, 2014)"},"properties":{"noteIndex":0},"schema":"https://github.com/citation-style-language/schema/raw/master/csl-citation.json"}</w:instrText>
      </w:r>
      <w:r w:rsidRPr="002B33CE">
        <w:rPr>
          <w:rFonts w:ascii="Georgia" w:eastAsia="Times New Roman" w:hAnsi="Georgia" w:cs="Times New Roman"/>
          <w:color w:val="000000" w:themeColor="text1"/>
          <w:sz w:val="20"/>
          <w:szCs w:val="20"/>
        </w:rPr>
        <w:fldChar w:fldCharType="separate"/>
      </w:r>
      <w:r w:rsidRPr="002B33CE">
        <w:rPr>
          <w:rFonts w:ascii="Georgia" w:eastAsia="Times New Roman" w:hAnsi="Georgia" w:cs="Times New Roman"/>
          <w:noProof/>
          <w:color w:val="000000" w:themeColor="text1"/>
          <w:sz w:val="20"/>
          <w:szCs w:val="20"/>
        </w:rPr>
        <w:t>(2014)</w:t>
      </w:r>
      <w:r w:rsidRPr="002B33CE">
        <w:rPr>
          <w:rFonts w:ascii="Georgia" w:eastAsia="Times New Roman" w:hAnsi="Georgia" w:cs="Times New Roman"/>
          <w:color w:val="000000" w:themeColor="text1"/>
          <w:sz w:val="20"/>
          <w:szCs w:val="20"/>
        </w:rPr>
        <w:fldChar w:fldCharType="end"/>
      </w:r>
      <w:r w:rsidRPr="002B33CE">
        <w:rPr>
          <w:rFonts w:ascii="Georgia" w:eastAsia="Times New Roman" w:hAnsi="Georgia" w:cs="Times New Roman"/>
          <w:color w:val="000000" w:themeColor="text1"/>
          <w:sz w:val="20"/>
          <w:szCs w:val="20"/>
        </w:rPr>
        <w:t>, one of the driving factors for creativity is a conducive environment, not rigid and not authoritarian. Openness of opinion in the family can only occur if the head of the family is not authoritarian and rigid, so that family members are trained to put forward creative ideas</w:t>
      </w:r>
    </w:p>
    <w:p w14:paraId="043E8AFC" w14:textId="77777777" w:rsidR="00034974" w:rsidRPr="002B33CE" w:rsidRDefault="00034974" w:rsidP="00034974">
      <w:pPr>
        <w:spacing w:after="0"/>
        <w:jc w:val="both"/>
        <w:rPr>
          <w:rFonts w:ascii="Georgia" w:eastAsia="Times New Roman" w:hAnsi="Georgia" w:cs="Times New Roman"/>
          <w:i/>
          <w:color w:val="000000" w:themeColor="text1"/>
          <w:sz w:val="20"/>
          <w:szCs w:val="20"/>
        </w:rPr>
      </w:pPr>
      <w:r w:rsidRPr="002B33CE">
        <w:rPr>
          <w:rFonts w:ascii="Georgia" w:eastAsia="Times New Roman" w:hAnsi="Georgia" w:cs="Times New Roman"/>
          <w:i/>
          <w:color w:val="000000" w:themeColor="text1"/>
          <w:sz w:val="20"/>
          <w:szCs w:val="20"/>
        </w:rPr>
        <w:t>Non-Academic Achievements</w:t>
      </w:r>
    </w:p>
    <w:p w14:paraId="6E6698A5" w14:textId="77777777" w:rsidR="00034974" w:rsidRPr="002B33CE" w:rsidRDefault="00034974" w:rsidP="00034974">
      <w:pPr>
        <w:spacing w:after="0"/>
        <w:ind w:firstLine="720"/>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  Correlation beetwen non academic  achievements with creative thinking ability in solving environmental problem presented in Figure 5</w:t>
      </w:r>
    </w:p>
    <w:p w14:paraId="70FAED7F"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65760F34" w14:textId="77777777" w:rsidR="00034974" w:rsidRPr="002B33CE" w:rsidRDefault="00034974" w:rsidP="00034974">
      <w:pPr>
        <w:spacing w:after="0"/>
        <w:jc w:val="both"/>
        <w:rPr>
          <w:rFonts w:ascii="Georgia" w:eastAsia="Times New Roman" w:hAnsi="Georgia" w:cs="Times New Roman"/>
          <w:color w:val="000000" w:themeColor="text1"/>
          <w:sz w:val="20"/>
          <w:szCs w:val="20"/>
        </w:rPr>
      </w:pPr>
      <w:r w:rsidRPr="002B33CE">
        <w:rPr>
          <w:rFonts w:ascii="Georgia" w:hAnsi="Georgia"/>
          <w:noProof/>
          <w:color w:val="000000" w:themeColor="text1"/>
          <w:sz w:val="20"/>
          <w:szCs w:val="20"/>
        </w:rPr>
        <w:drawing>
          <wp:inline distT="0" distB="0" distL="0" distR="0" wp14:anchorId="270D932C" wp14:editId="4ED3B5E8">
            <wp:extent cx="2905125" cy="1952625"/>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D3237A5" w14:textId="5F2C4D2A" w:rsidR="00034974" w:rsidRPr="002B33CE" w:rsidRDefault="00034974" w:rsidP="00034974">
      <w:pPr>
        <w:spacing w:after="0"/>
        <w:jc w:val="both"/>
        <w:rPr>
          <w:rFonts w:ascii="Georgia" w:eastAsia="Times New Roman" w:hAnsi="Georgia" w:cs="Times New Roman"/>
          <w:b/>
          <w:color w:val="000000" w:themeColor="text1"/>
          <w:sz w:val="20"/>
          <w:szCs w:val="20"/>
        </w:rPr>
      </w:pPr>
      <w:r w:rsidRPr="002B33CE">
        <w:rPr>
          <w:rFonts w:ascii="Georgia" w:eastAsia="Times New Roman" w:hAnsi="Georgia" w:cs="Times New Roman"/>
          <w:b/>
          <w:color w:val="000000" w:themeColor="text1"/>
          <w:sz w:val="20"/>
          <w:szCs w:val="20"/>
        </w:rPr>
        <w:t>Fig</w:t>
      </w:r>
      <w:r w:rsidRPr="002B33CE">
        <w:rPr>
          <w:rFonts w:ascii="Georgia" w:eastAsia="Times New Roman" w:hAnsi="Georgia" w:cs="Times New Roman"/>
          <w:b/>
          <w:color w:val="000000" w:themeColor="text1"/>
          <w:sz w:val="20"/>
          <w:szCs w:val="20"/>
          <w:lang w:val="en-US"/>
        </w:rPr>
        <w:t xml:space="preserve">. </w:t>
      </w:r>
      <w:r w:rsidRPr="002B33CE">
        <w:rPr>
          <w:rFonts w:ascii="Georgia" w:eastAsia="Times New Roman" w:hAnsi="Georgia" w:cs="Times New Roman"/>
          <w:b/>
          <w:color w:val="000000" w:themeColor="text1"/>
          <w:sz w:val="20"/>
          <w:szCs w:val="20"/>
        </w:rPr>
        <w:t>5. Lower and upper class non-academic achievements</w:t>
      </w:r>
    </w:p>
    <w:p w14:paraId="0A8DBB84" w14:textId="77777777" w:rsidR="00034974" w:rsidRPr="002B33CE" w:rsidRDefault="00034974" w:rsidP="00034974">
      <w:pPr>
        <w:spacing w:after="0"/>
        <w:jc w:val="both"/>
        <w:rPr>
          <w:rFonts w:ascii="Georgia" w:eastAsia="Times New Roman" w:hAnsi="Georgia" w:cs="Times New Roman"/>
          <w:color w:val="000000" w:themeColor="text1"/>
          <w:sz w:val="20"/>
          <w:szCs w:val="20"/>
        </w:rPr>
      </w:pPr>
    </w:p>
    <w:p w14:paraId="7A5F731E" w14:textId="77777777" w:rsidR="00034974" w:rsidRPr="002B33CE" w:rsidRDefault="00034974" w:rsidP="00034974">
      <w:pPr>
        <w:shd w:val="clear" w:color="auto" w:fill="FFFFFF"/>
        <w:jc w:val="both"/>
        <w:rPr>
          <w:rFonts w:ascii="Georgia" w:eastAsia="Times New Roman" w:hAnsi="Georgia" w:cs="Times New Roman"/>
          <w:color w:val="000000" w:themeColor="text1"/>
          <w:sz w:val="20"/>
          <w:szCs w:val="20"/>
        </w:rPr>
      </w:pPr>
      <w:r w:rsidRPr="002B33CE">
        <w:rPr>
          <w:rFonts w:ascii="Georgia" w:eastAsia="Times New Roman" w:hAnsi="Georgia" w:cs="Times New Roman"/>
          <w:color w:val="000000" w:themeColor="text1"/>
          <w:sz w:val="20"/>
          <w:szCs w:val="20"/>
        </w:rPr>
        <w:t>Almost all students in the lower class have no non-academic achievement. There is only one student who has achievements in non-academic fields. However, that does not mean that these students do not have activities in non-academic fields. In the upper class, there are 70.83% of students who have achievements in non-academic fields in the fields of arts, sports and other non-formal education. Based on the Mann Whitney-U test obtained a significant value of 0.00, indicating that there are differences in non-academic achievement between low and high classes</w:t>
      </w:r>
    </w:p>
    <w:p w14:paraId="41AC2025" w14:textId="1D46A090" w:rsidR="00F70FF8" w:rsidRPr="002B33CE" w:rsidRDefault="00F70FF8" w:rsidP="00B24C2D">
      <w:pPr>
        <w:spacing w:after="0" w:line="360" w:lineRule="auto"/>
        <w:jc w:val="both"/>
        <w:rPr>
          <w:rFonts w:ascii="Georgia" w:eastAsia="Arial" w:hAnsi="Georgia" w:cs="Times New Roman"/>
          <w:b/>
          <w:color w:val="000000" w:themeColor="text1"/>
        </w:rPr>
      </w:pPr>
      <w:r w:rsidRPr="002B33CE">
        <w:rPr>
          <w:rFonts w:ascii="Georgia" w:eastAsia="Arial" w:hAnsi="Georgia" w:cs="Times New Roman"/>
          <w:b/>
          <w:color w:val="000000" w:themeColor="text1"/>
        </w:rPr>
        <w:t xml:space="preserve">CONCLUSION </w:t>
      </w:r>
    </w:p>
    <w:p w14:paraId="14FF32A5" w14:textId="77777777" w:rsidR="00034974" w:rsidRPr="002B33CE" w:rsidRDefault="00034974" w:rsidP="00034974">
      <w:pPr>
        <w:spacing w:after="0"/>
        <w:jc w:val="both"/>
        <w:rPr>
          <w:rFonts w:ascii="Georgia" w:eastAsia="Times New Roman" w:hAnsi="Georgia" w:cs="Times New Roman"/>
          <w:b/>
          <w:color w:val="000000" w:themeColor="text1"/>
          <w:lang w:val="en-US"/>
        </w:rPr>
      </w:pPr>
      <w:r w:rsidRPr="002B33CE">
        <w:rPr>
          <w:rFonts w:ascii="Georgia" w:eastAsia="Times New Roman" w:hAnsi="Georgia" w:cs="Times New Roman"/>
          <w:color w:val="000000" w:themeColor="text1"/>
          <w:sz w:val="20"/>
          <w:szCs w:val="20"/>
        </w:rPr>
        <w:t>Students' creative thinking value in this study averaged 48 , the highest 79,2 and the lowest 12,5. The grades achieved including: fluency 62, flexibility 51, originality 49 ,and elaboration 27. The factors that estimated influence students' creative thinking value are economic factors, non academic achievement, authentic experience of environment practical activities, openness for opinions in making decisions in the family</w:t>
      </w:r>
    </w:p>
    <w:p w14:paraId="542BC57E" w14:textId="77777777" w:rsidR="00191E4B" w:rsidRPr="002B33CE" w:rsidRDefault="00191E4B" w:rsidP="00F70FF8">
      <w:pPr>
        <w:spacing w:after="0" w:line="240" w:lineRule="auto"/>
        <w:jc w:val="both"/>
        <w:rPr>
          <w:rFonts w:ascii="Georgia" w:eastAsia="Times New Roman" w:hAnsi="Georgia" w:cs="Times New Roman"/>
          <w:b/>
          <w:color w:val="000000" w:themeColor="text1"/>
        </w:rPr>
      </w:pPr>
    </w:p>
    <w:p w14:paraId="2E445A07" w14:textId="77777777" w:rsidR="00F70FF8" w:rsidRPr="002B33CE" w:rsidRDefault="00F70FF8" w:rsidP="00B24C2D">
      <w:pPr>
        <w:spacing w:after="0" w:line="360" w:lineRule="auto"/>
        <w:jc w:val="both"/>
        <w:rPr>
          <w:rFonts w:ascii="Georgia" w:eastAsia="Arial" w:hAnsi="Georgia" w:cs="Times New Roman"/>
          <w:b/>
          <w:color w:val="000000" w:themeColor="text1"/>
        </w:rPr>
      </w:pPr>
      <w:r w:rsidRPr="002B33CE">
        <w:rPr>
          <w:rFonts w:ascii="Georgia" w:eastAsia="Arial" w:hAnsi="Georgia" w:cs="Times New Roman"/>
          <w:b/>
          <w:color w:val="000000" w:themeColor="text1"/>
        </w:rPr>
        <w:t>REFERENCES</w:t>
      </w:r>
    </w:p>
    <w:p w14:paraId="0F3E7D90" w14:textId="77777777" w:rsidR="00D46931" w:rsidRPr="002B33CE" w:rsidRDefault="00ED6711" w:rsidP="00F70FF8">
      <w:pPr>
        <w:widowControl w:val="0"/>
        <w:autoSpaceDE w:val="0"/>
        <w:autoSpaceDN w:val="0"/>
        <w:adjustRightInd w:val="0"/>
        <w:spacing w:after="0" w:line="240" w:lineRule="auto"/>
        <w:ind w:left="709" w:hanging="709"/>
        <w:jc w:val="both"/>
        <w:rPr>
          <w:rFonts w:ascii="Georgia" w:hAnsi="Georgia" w:cs="Times New Roman"/>
          <w:noProof/>
          <w:color w:val="000000" w:themeColor="text1"/>
        </w:rPr>
      </w:pPr>
      <w:r w:rsidRPr="002B33CE">
        <w:rPr>
          <w:rFonts w:ascii="Georgia" w:eastAsia="Times New Roman" w:hAnsi="Georgia" w:cs="Times New Roman"/>
          <w:b/>
          <w:color w:val="000000" w:themeColor="text1"/>
        </w:rPr>
        <w:fldChar w:fldCharType="begin" w:fldLock="1"/>
      </w:r>
      <w:r w:rsidRPr="002B33CE">
        <w:rPr>
          <w:rFonts w:ascii="Georgia" w:eastAsia="Times New Roman" w:hAnsi="Georgia" w:cs="Times New Roman"/>
          <w:b/>
          <w:color w:val="000000" w:themeColor="text1"/>
        </w:rPr>
        <w:instrText xml:space="preserve">ADDIN Mendeley Bibliography CSL_BIBLIOGRAPHY </w:instrText>
      </w:r>
      <w:r w:rsidRPr="002B33CE">
        <w:rPr>
          <w:rFonts w:ascii="Georgia" w:eastAsia="Times New Roman" w:hAnsi="Georgia" w:cs="Times New Roman"/>
          <w:b/>
          <w:color w:val="000000" w:themeColor="text1"/>
        </w:rPr>
        <w:fldChar w:fldCharType="separate"/>
      </w:r>
      <w:bookmarkStart w:id="1" w:name="Idris"/>
      <w:r w:rsidR="00D46931" w:rsidRPr="002B33CE">
        <w:rPr>
          <w:rFonts w:ascii="Georgia" w:hAnsi="Georgia" w:cs="Times New Roman"/>
          <w:noProof/>
          <w:color w:val="000000" w:themeColor="text1"/>
        </w:rPr>
        <w:t>Idris</w:t>
      </w:r>
      <w:bookmarkEnd w:id="1"/>
      <w:r w:rsidR="00D46931" w:rsidRPr="002B33CE">
        <w:rPr>
          <w:rFonts w:ascii="Georgia" w:hAnsi="Georgia" w:cs="Times New Roman"/>
          <w:noProof/>
          <w:color w:val="000000" w:themeColor="text1"/>
        </w:rPr>
        <w:t xml:space="preserve">, R., &amp; Lestari, E. (2017). Pengaruh Pengorganisasian Terhadap Peningkatan Mutu Pendidikan Di Sd Inpres Bangkala Ii Kota Makassar. </w:t>
      </w:r>
      <w:r w:rsidR="00D46931" w:rsidRPr="002B33CE">
        <w:rPr>
          <w:rFonts w:ascii="Georgia" w:hAnsi="Georgia" w:cs="Times New Roman"/>
          <w:i/>
          <w:iCs/>
          <w:noProof/>
          <w:color w:val="000000" w:themeColor="text1"/>
        </w:rPr>
        <w:t>Lentera Pendidikan</w:t>
      </w:r>
      <w:r w:rsidR="00D46931" w:rsidRPr="002B33CE">
        <w:rPr>
          <w:rFonts w:ascii="Times New Roman" w:hAnsi="Times New Roman" w:cs="Times New Roman"/>
          <w:i/>
          <w:iCs/>
          <w:noProof/>
          <w:color w:val="000000" w:themeColor="text1"/>
        </w:rPr>
        <w:t> </w:t>
      </w:r>
      <w:r w:rsidR="00D46931" w:rsidRPr="002B33CE">
        <w:rPr>
          <w:rFonts w:ascii="Georgia" w:hAnsi="Georgia" w:cs="Times New Roman"/>
          <w:i/>
          <w:iCs/>
          <w:noProof/>
          <w:color w:val="000000" w:themeColor="text1"/>
        </w:rPr>
        <w:t>: Jurnal Ilmu Tarbiyah Dan Keguruan</w:t>
      </w:r>
      <w:r w:rsidR="00D46931" w:rsidRPr="002B33CE">
        <w:rPr>
          <w:rFonts w:ascii="Georgia" w:hAnsi="Georgia" w:cs="Times New Roman"/>
          <w:noProof/>
          <w:color w:val="000000" w:themeColor="text1"/>
        </w:rPr>
        <w:t xml:space="preserve">, </w:t>
      </w:r>
      <w:r w:rsidR="00D46931" w:rsidRPr="002B33CE">
        <w:rPr>
          <w:rFonts w:ascii="Georgia" w:hAnsi="Georgia" w:cs="Times New Roman"/>
          <w:i/>
          <w:iCs/>
          <w:noProof/>
          <w:color w:val="000000" w:themeColor="text1"/>
        </w:rPr>
        <w:t>20</w:t>
      </w:r>
      <w:r w:rsidR="00D46931" w:rsidRPr="002B33CE">
        <w:rPr>
          <w:rFonts w:ascii="Georgia" w:hAnsi="Georgia" w:cs="Times New Roman"/>
          <w:noProof/>
          <w:color w:val="000000" w:themeColor="text1"/>
        </w:rPr>
        <w:t>(1), 18–30. https://doi.org/10.24252/lp.2017v20n1a2</w:t>
      </w:r>
    </w:p>
    <w:p w14:paraId="6B63A792" w14:textId="77777777" w:rsidR="00D46931" w:rsidRPr="002B33CE" w:rsidRDefault="00D46931" w:rsidP="00F70FF8">
      <w:pPr>
        <w:widowControl w:val="0"/>
        <w:autoSpaceDE w:val="0"/>
        <w:autoSpaceDN w:val="0"/>
        <w:adjustRightInd w:val="0"/>
        <w:spacing w:after="0" w:line="240" w:lineRule="auto"/>
        <w:ind w:left="709" w:hanging="709"/>
        <w:jc w:val="both"/>
        <w:rPr>
          <w:rFonts w:ascii="Georgia" w:hAnsi="Georgia" w:cs="Times New Roman"/>
          <w:noProof/>
          <w:color w:val="000000" w:themeColor="text1"/>
        </w:rPr>
      </w:pPr>
      <w:bookmarkStart w:id="2" w:name="Khanafi"/>
      <w:r w:rsidRPr="002B33CE">
        <w:rPr>
          <w:rFonts w:ascii="Georgia" w:hAnsi="Georgia" w:cs="Times New Roman"/>
          <w:noProof/>
          <w:color w:val="000000" w:themeColor="text1"/>
        </w:rPr>
        <w:t>Khanafi</w:t>
      </w:r>
      <w:bookmarkEnd w:id="2"/>
      <w:r w:rsidRPr="002B33CE">
        <w:rPr>
          <w:rFonts w:ascii="Georgia" w:hAnsi="Georgia" w:cs="Times New Roman"/>
          <w:noProof/>
          <w:color w:val="000000" w:themeColor="text1"/>
        </w:rPr>
        <w:t xml:space="preserve">, I., Salafuddin, S., Abidin, M. Y., &amp; Khamidi, A. N. (2013). Persepsi dan Transformasi Visi dan Misi Pada Civitas Akademika Stain Pekalongan. </w:t>
      </w:r>
      <w:r w:rsidRPr="002B33CE">
        <w:rPr>
          <w:rFonts w:ascii="Georgia" w:hAnsi="Georgia" w:cs="Times New Roman"/>
          <w:i/>
          <w:iCs/>
          <w:noProof/>
          <w:color w:val="000000" w:themeColor="text1"/>
        </w:rPr>
        <w:t>Jurnal Penelitian</w:t>
      </w:r>
      <w:r w:rsidRPr="002B33CE">
        <w:rPr>
          <w:rFonts w:ascii="Georgia" w:hAnsi="Georgia" w:cs="Times New Roman"/>
          <w:noProof/>
          <w:color w:val="000000" w:themeColor="text1"/>
        </w:rPr>
        <w:t xml:space="preserve">, </w:t>
      </w:r>
      <w:r w:rsidRPr="002B33CE">
        <w:rPr>
          <w:rFonts w:ascii="Georgia" w:hAnsi="Georgia" w:cs="Times New Roman"/>
          <w:i/>
          <w:iCs/>
          <w:noProof/>
          <w:color w:val="000000" w:themeColor="text1"/>
        </w:rPr>
        <w:t>6</w:t>
      </w:r>
      <w:r w:rsidRPr="002B33CE">
        <w:rPr>
          <w:rFonts w:ascii="Georgia" w:hAnsi="Georgia" w:cs="Times New Roman"/>
          <w:noProof/>
          <w:color w:val="000000" w:themeColor="text1"/>
        </w:rPr>
        <w:t>(2). https://doi.org/10.28918/jupe.v6i2.229</w:t>
      </w:r>
    </w:p>
    <w:p w14:paraId="692076F6" w14:textId="77777777" w:rsidR="00D46931" w:rsidRPr="002B33CE" w:rsidRDefault="00D46931" w:rsidP="00F70FF8">
      <w:pPr>
        <w:widowControl w:val="0"/>
        <w:autoSpaceDE w:val="0"/>
        <w:autoSpaceDN w:val="0"/>
        <w:adjustRightInd w:val="0"/>
        <w:spacing w:after="0" w:line="240" w:lineRule="auto"/>
        <w:ind w:left="709" w:hanging="709"/>
        <w:jc w:val="both"/>
        <w:rPr>
          <w:rFonts w:ascii="Georgia" w:hAnsi="Georgia" w:cs="Times New Roman"/>
          <w:noProof/>
          <w:color w:val="000000" w:themeColor="text1"/>
        </w:rPr>
      </w:pPr>
      <w:bookmarkStart w:id="3" w:name="Pratiwi"/>
      <w:r w:rsidRPr="002B33CE">
        <w:rPr>
          <w:rFonts w:ascii="Georgia" w:hAnsi="Georgia" w:cs="Times New Roman"/>
          <w:noProof/>
          <w:color w:val="000000" w:themeColor="text1"/>
        </w:rPr>
        <w:t>Pratiwi</w:t>
      </w:r>
      <w:bookmarkEnd w:id="3"/>
      <w:r w:rsidRPr="002B33CE">
        <w:rPr>
          <w:rFonts w:ascii="Georgia" w:hAnsi="Georgia" w:cs="Times New Roman"/>
          <w:noProof/>
          <w:color w:val="000000" w:themeColor="text1"/>
        </w:rPr>
        <w:t xml:space="preserve">, Y. E., &amp; Sunarso, S. (2018). Peranan Musyawarah Mufakat (Bubalah) Dalam Membentuk Iklim Akademik Positif di Prodi PPKn FKIP Unila. </w:t>
      </w:r>
      <w:r w:rsidRPr="002B33CE">
        <w:rPr>
          <w:rFonts w:ascii="Georgia" w:hAnsi="Georgia" w:cs="Times New Roman"/>
          <w:i/>
          <w:iCs/>
          <w:noProof/>
          <w:color w:val="000000" w:themeColor="text1"/>
        </w:rPr>
        <w:t>Sosiohumaniora</w:t>
      </w:r>
      <w:r w:rsidRPr="002B33CE">
        <w:rPr>
          <w:rFonts w:ascii="Georgia" w:hAnsi="Georgia" w:cs="Times New Roman"/>
          <w:noProof/>
          <w:color w:val="000000" w:themeColor="text1"/>
        </w:rPr>
        <w:t xml:space="preserve">, </w:t>
      </w:r>
      <w:r w:rsidRPr="002B33CE">
        <w:rPr>
          <w:rFonts w:ascii="Georgia" w:hAnsi="Georgia" w:cs="Times New Roman"/>
          <w:i/>
          <w:iCs/>
          <w:noProof/>
          <w:color w:val="000000" w:themeColor="text1"/>
        </w:rPr>
        <w:t>20</w:t>
      </w:r>
      <w:r w:rsidRPr="002B33CE">
        <w:rPr>
          <w:rFonts w:ascii="Georgia" w:hAnsi="Georgia" w:cs="Times New Roman"/>
          <w:noProof/>
          <w:color w:val="000000" w:themeColor="text1"/>
        </w:rPr>
        <w:t>(3), 199. https://doi.org/10.24198/sosiohumaniora.v20i3.16254</w:t>
      </w:r>
    </w:p>
    <w:p w14:paraId="1D809D00" w14:textId="77777777" w:rsidR="00D46931" w:rsidRPr="002B33CE" w:rsidRDefault="00D46931" w:rsidP="00F70FF8">
      <w:pPr>
        <w:widowControl w:val="0"/>
        <w:autoSpaceDE w:val="0"/>
        <w:autoSpaceDN w:val="0"/>
        <w:adjustRightInd w:val="0"/>
        <w:spacing w:after="0" w:line="240" w:lineRule="auto"/>
        <w:ind w:left="709" w:hanging="709"/>
        <w:jc w:val="both"/>
        <w:rPr>
          <w:rFonts w:ascii="Georgia" w:hAnsi="Georgia" w:cs="Times New Roman"/>
          <w:noProof/>
          <w:color w:val="000000" w:themeColor="text1"/>
        </w:rPr>
      </w:pPr>
      <w:bookmarkStart w:id="4" w:name="Sudarmanto"/>
      <w:r w:rsidRPr="002B33CE">
        <w:rPr>
          <w:rFonts w:ascii="Georgia" w:hAnsi="Georgia" w:cs="Times New Roman"/>
          <w:noProof/>
          <w:color w:val="000000" w:themeColor="text1"/>
        </w:rPr>
        <w:lastRenderedPageBreak/>
        <w:t>Sudarmanto</w:t>
      </w:r>
      <w:bookmarkEnd w:id="4"/>
      <w:r w:rsidRPr="002B33CE">
        <w:rPr>
          <w:rFonts w:ascii="Georgia" w:hAnsi="Georgia" w:cs="Times New Roman"/>
          <w:noProof/>
          <w:color w:val="000000" w:themeColor="text1"/>
        </w:rPr>
        <w:t>. (2018). Peranan Kepala Sekolah dalam Mewujudkan Visi Dan Misi Sekolah Menjadi Sebuah Aksi. Retrieved April 15, 2020, from https://cahaya-begawan.blogspot.com/2017/04/peranan-kepala-sekolah-dalam-mewujudkan.html</w:t>
      </w:r>
    </w:p>
    <w:p w14:paraId="6A13D679" w14:textId="77777777" w:rsidR="00D46931" w:rsidRPr="002B33CE" w:rsidRDefault="00D46931" w:rsidP="00F70FF8">
      <w:pPr>
        <w:widowControl w:val="0"/>
        <w:autoSpaceDE w:val="0"/>
        <w:autoSpaceDN w:val="0"/>
        <w:adjustRightInd w:val="0"/>
        <w:spacing w:after="0" w:line="240" w:lineRule="auto"/>
        <w:ind w:left="709" w:hanging="709"/>
        <w:jc w:val="both"/>
        <w:rPr>
          <w:rFonts w:ascii="Georgia" w:hAnsi="Georgia" w:cs="Times New Roman"/>
          <w:noProof/>
          <w:color w:val="000000" w:themeColor="text1"/>
        </w:rPr>
      </w:pPr>
      <w:bookmarkStart w:id="5" w:name="Wahyudin"/>
      <w:r w:rsidRPr="002B33CE">
        <w:rPr>
          <w:rFonts w:ascii="Georgia" w:hAnsi="Georgia" w:cs="Times New Roman"/>
          <w:noProof/>
          <w:color w:val="000000" w:themeColor="text1"/>
        </w:rPr>
        <w:t>Wahyudin</w:t>
      </w:r>
      <w:bookmarkEnd w:id="5"/>
      <w:r w:rsidRPr="002B33CE">
        <w:rPr>
          <w:rFonts w:ascii="Georgia" w:hAnsi="Georgia" w:cs="Times New Roman"/>
          <w:noProof/>
          <w:color w:val="000000" w:themeColor="text1"/>
        </w:rPr>
        <w:t xml:space="preserve">, W. (2018). Optimalisasi Peran Kepala Sekolah dalam Implementasi Kurikulum 2013. </w:t>
      </w:r>
      <w:r w:rsidRPr="002B33CE">
        <w:rPr>
          <w:rFonts w:ascii="Georgia" w:hAnsi="Georgia" w:cs="Times New Roman"/>
          <w:i/>
          <w:iCs/>
          <w:noProof/>
          <w:color w:val="000000" w:themeColor="text1"/>
        </w:rPr>
        <w:t>Jurnal Kependidikan</w:t>
      </w:r>
      <w:r w:rsidRPr="002B33CE">
        <w:rPr>
          <w:rFonts w:ascii="Georgia" w:hAnsi="Georgia" w:cs="Times New Roman"/>
          <w:noProof/>
          <w:color w:val="000000" w:themeColor="text1"/>
        </w:rPr>
        <w:t xml:space="preserve">, </w:t>
      </w:r>
      <w:r w:rsidRPr="002B33CE">
        <w:rPr>
          <w:rFonts w:ascii="Georgia" w:hAnsi="Georgia" w:cs="Times New Roman"/>
          <w:i/>
          <w:iCs/>
          <w:noProof/>
          <w:color w:val="000000" w:themeColor="text1"/>
        </w:rPr>
        <w:t>6</w:t>
      </w:r>
      <w:r w:rsidRPr="002B33CE">
        <w:rPr>
          <w:rFonts w:ascii="Georgia" w:hAnsi="Georgia" w:cs="Times New Roman"/>
          <w:noProof/>
          <w:color w:val="000000" w:themeColor="text1"/>
        </w:rPr>
        <w:t>(2), 249–265. https://doi.org/10.24090/jk.v6i2.1932</w:t>
      </w:r>
    </w:p>
    <w:p w14:paraId="1617D91E" w14:textId="77777777" w:rsidR="00D46931" w:rsidRPr="002B33CE" w:rsidRDefault="00D46931" w:rsidP="00F70FF8">
      <w:pPr>
        <w:widowControl w:val="0"/>
        <w:autoSpaceDE w:val="0"/>
        <w:autoSpaceDN w:val="0"/>
        <w:adjustRightInd w:val="0"/>
        <w:spacing w:after="0" w:line="240" w:lineRule="auto"/>
        <w:ind w:left="709" w:hanging="709"/>
        <w:jc w:val="both"/>
        <w:rPr>
          <w:rFonts w:ascii="Georgia" w:hAnsi="Georgia" w:cs="Times New Roman"/>
          <w:noProof/>
          <w:color w:val="000000" w:themeColor="text1"/>
        </w:rPr>
      </w:pPr>
      <w:bookmarkStart w:id="6" w:name="Wulandari"/>
      <w:r w:rsidRPr="002B33CE">
        <w:rPr>
          <w:rFonts w:ascii="Georgia" w:hAnsi="Georgia" w:cs="Times New Roman"/>
          <w:noProof/>
          <w:color w:val="000000" w:themeColor="text1"/>
        </w:rPr>
        <w:t>Wulandari</w:t>
      </w:r>
      <w:bookmarkEnd w:id="6"/>
      <w:r w:rsidRPr="002B33CE">
        <w:rPr>
          <w:rFonts w:ascii="Georgia" w:hAnsi="Georgia" w:cs="Times New Roman"/>
          <w:noProof/>
          <w:color w:val="000000" w:themeColor="text1"/>
        </w:rPr>
        <w:t xml:space="preserve">, R. Y. (2016). Implementasi supervisi manajerial pengawas sekolah dalam meningkatkan kompetensi pengelola perpustakaan. </w:t>
      </w:r>
      <w:r w:rsidRPr="002B33CE">
        <w:rPr>
          <w:rFonts w:ascii="Georgia" w:hAnsi="Georgia" w:cs="Times New Roman"/>
          <w:i/>
          <w:iCs/>
          <w:noProof/>
          <w:color w:val="000000" w:themeColor="text1"/>
        </w:rPr>
        <w:t>Manajer Pendidikan</w:t>
      </w:r>
      <w:r w:rsidRPr="002B33CE">
        <w:rPr>
          <w:rFonts w:ascii="Georgia" w:hAnsi="Georgia" w:cs="Times New Roman"/>
          <w:noProof/>
          <w:color w:val="000000" w:themeColor="text1"/>
        </w:rPr>
        <w:t xml:space="preserve">, </w:t>
      </w:r>
      <w:r w:rsidRPr="002B33CE">
        <w:rPr>
          <w:rFonts w:ascii="Georgia" w:hAnsi="Georgia" w:cs="Times New Roman"/>
          <w:i/>
          <w:iCs/>
          <w:noProof/>
          <w:color w:val="000000" w:themeColor="text1"/>
        </w:rPr>
        <w:t>10</w:t>
      </w:r>
      <w:r w:rsidRPr="002B33CE">
        <w:rPr>
          <w:rFonts w:ascii="Georgia" w:hAnsi="Georgia" w:cs="Times New Roman"/>
          <w:noProof/>
          <w:color w:val="000000" w:themeColor="text1"/>
        </w:rPr>
        <w:t>(2).</w:t>
      </w:r>
    </w:p>
    <w:p w14:paraId="2BF122B9" w14:textId="77777777" w:rsidR="00D46931" w:rsidRPr="002B33CE" w:rsidRDefault="00D46931" w:rsidP="00F70FF8">
      <w:pPr>
        <w:widowControl w:val="0"/>
        <w:autoSpaceDE w:val="0"/>
        <w:autoSpaceDN w:val="0"/>
        <w:adjustRightInd w:val="0"/>
        <w:spacing w:after="0" w:line="240" w:lineRule="auto"/>
        <w:ind w:left="709" w:hanging="709"/>
        <w:jc w:val="both"/>
        <w:rPr>
          <w:rFonts w:ascii="Georgia" w:hAnsi="Georgia" w:cs="Times New Roman"/>
          <w:noProof/>
          <w:color w:val="000000" w:themeColor="text1"/>
        </w:rPr>
      </w:pPr>
      <w:bookmarkStart w:id="7" w:name="Yusutria"/>
      <w:r w:rsidRPr="002B33CE">
        <w:rPr>
          <w:rFonts w:ascii="Georgia" w:hAnsi="Georgia" w:cs="Times New Roman"/>
          <w:noProof/>
          <w:color w:val="000000" w:themeColor="text1"/>
        </w:rPr>
        <w:t>Yusutria</w:t>
      </w:r>
      <w:bookmarkEnd w:id="7"/>
      <w:r w:rsidRPr="002B33CE">
        <w:rPr>
          <w:rFonts w:ascii="Georgia" w:hAnsi="Georgia" w:cs="Times New Roman"/>
          <w:noProof/>
          <w:color w:val="000000" w:themeColor="text1"/>
        </w:rPr>
        <w:t xml:space="preserve">, Y. (2018). Analisis Mutu Lembaga Pendidikan Berdasarkan Fungsi Manajemen di Pondok Pesantren Thawalib Padang Sumatera Barat. </w:t>
      </w:r>
      <w:r w:rsidRPr="002B33CE">
        <w:rPr>
          <w:rFonts w:ascii="Georgia" w:hAnsi="Georgia" w:cs="Times New Roman"/>
          <w:i/>
          <w:iCs/>
          <w:noProof/>
          <w:color w:val="000000" w:themeColor="text1"/>
        </w:rPr>
        <w:t>Ta’dib: Jurnal Pendidikan Islam</w:t>
      </w:r>
      <w:r w:rsidRPr="002B33CE">
        <w:rPr>
          <w:rFonts w:ascii="Georgia" w:hAnsi="Georgia" w:cs="Times New Roman"/>
          <w:noProof/>
          <w:color w:val="000000" w:themeColor="text1"/>
        </w:rPr>
        <w:t xml:space="preserve">, </w:t>
      </w:r>
      <w:r w:rsidRPr="002B33CE">
        <w:rPr>
          <w:rFonts w:ascii="Georgia" w:hAnsi="Georgia" w:cs="Times New Roman"/>
          <w:i/>
          <w:iCs/>
          <w:noProof/>
          <w:color w:val="000000" w:themeColor="text1"/>
        </w:rPr>
        <w:t>7</w:t>
      </w:r>
      <w:r w:rsidRPr="002B33CE">
        <w:rPr>
          <w:rFonts w:ascii="Georgia" w:hAnsi="Georgia" w:cs="Times New Roman"/>
          <w:noProof/>
          <w:color w:val="000000" w:themeColor="text1"/>
        </w:rPr>
        <w:t>(2), 61–68. https://doi.org/10.29313/tjpi.v7i2.3833</w:t>
      </w:r>
    </w:p>
    <w:p w14:paraId="5CCDF057" w14:textId="77777777" w:rsidR="00F956D0" w:rsidRPr="002B33CE" w:rsidRDefault="00ED6711" w:rsidP="00F70FF8">
      <w:pPr>
        <w:widowControl w:val="0"/>
        <w:autoSpaceDE w:val="0"/>
        <w:autoSpaceDN w:val="0"/>
        <w:adjustRightInd w:val="0"/>
        <w:spacing w:after="0" w:line="240" w:lineRule="auto"/>
        <w:ind w:left="709" w:hanging="709"/>
        <w:jc w:val="both"/>
        <w:rPr>
          <w:rFonts w:ascii="Georgia" w:eastAsia="Times New Roman" w:hAnsi="Georgia" w:cs="Times New Roman"/>
          <w:b/>
          <w:color w:val="000000" w:themeColor="text1"/>
        </w:rPr>
      </w:pPr>
      <w:r w:rsidRPr="002B33CE">
        <w:rPr>
          <w:rFonts w:ascii="Georgia" w:eastAsia="Times New Roman" w:hAnsi="Georgia" w:cs="Times New Roman"/>
          <w:b/>
          <w:color w:val="000000" w:themeColor="text1"/>
        </w:rPr>
        <w:fldChar w:fldCharType="end"/>
      </w:r>
    </w:p>
    <w:p w14:paraId="638A3157" w14:textId="77777777" w:rsidR="00191E4B" w:rsidRPr="002B33CE" w:rsidRDefault="00191E4B" w:rsidP="00F70FF8">
      <w:pPr>
        <w:spacing w:after="0" w:line="240" w:lineRule="auto"/>
        <w:jc w:val="both"/>
        <w:rPr>
          <w:rFonts w:ascii="Georgia" w:hAnsi="Georgia" w:cs="Times New Roman"/>
          <w:color w:val="000000" w:themeColor="text1"/>
        </w:rPr>
      </w:pPr>
    </w:p>
    <w:sectPr w:rsidR="00191E4B" w:rsidRPr="002B33CE" w:rsidSect="0065735E">
      <w:headerReference w:type="even" r:id="rId19"/>
      <w:headerReference w:type="default" r:id="rId20"/>
      <w:footerReference w:type="even" r:id="rId21"/>
      <w:footerReference w:type="default" r:id="rId22"/>
      <w:footerReference w:type="first" r:id="rId23"/>
      <w:type w:val="oddPage"/>
      <w:pgSz w:w="11906" w:h="16838" w:code="9"/>
      <w:pgMar w:top="851" w:right="851" w:bottom="851"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7EBD4" w14:textId="77777777" w:rsidR="008D7161" w:rsidRDefault="008D7161">
      <w:pPr>
        <w:spacing w:after="0" w:line="240" w:lineRule="auto"/>
      </w:pPr>
      <w:r>
        <w:separator/>
      </w:r>
    </w:p>
  </w:endnote>
  <w:endnote w:type="continuationSeparator" w:id="0">
    <w:p w14:paraId="19DAB283" w14:textId="77777777" w:rsidR="008D7161" w:rsidRDefault="008D7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604020202020204"/>
    <w:charset w:val="00"/>
    <w:family w:val="swiss"/>
    <w:pitch w:val="variable"/>
    <w:sig w:usb0="E4002EFF" w:usb1="C000E47F" w:usb2="00000009" w:usb3="00000000" w:csb0="000001FF" w:csb1="00000000"/>
  </w:font>
  <w:font w:name="DFKai-SB">
    <w:altName w:val="Microsoft JhengHei Light"/>
    <w:panose1 w:val="020B0604020202020204"/>
    <w:charset w:val="88"/>
    <w:family w:val="script"/>
    <w:notTrueType/>
    <w:pitch w:val="fixed"/>
    <w:sig w:usb0="00000001" w:usb1="08080000" w:usb2="00000010" w:usb3="00000000" w:csb0="00100000" w:csb1="00000000"/>
  </w:font>
  <w:font w:name="Lato">
    <w:altName w:val="Calibri"/>
    <w:panose1 w:val="020B0604020202020204"/>
    <w:charset w:val="00"/>
    <w:family w:val="swiss"/>
    <w:pitch w:val="variable"/>
    <w:sig w:usb0="00000001" w:usb1="5000604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Lato" w:hAnsi="Lato"/>
        <w:sz w:val="18"/>
        <w:szCs w:val="18"/>
      </w:rPr>
      <w:id w:val="52741093"/>
      <w:docPartObj>
        <w:docPartGallery w:val="Page Numbers (Bottom of Page)"/>
        <w:docPartUnique/>
      </w:docPartObj>
    </w:sdtPr>
    <w:sdtEndPr/>
    <w:sdtContent>
      <w:sdt>
        <w:sdtPr>
          <w:rPr>
            <w:rFonts w:ascii="Lato" w:hAnsi="Lato"/>
            <w:sz w:val="18"/>
            <w:szCs w:val="18"/>
          </w:rPr>
          <w:id w:val="-2036958135"/>
          <w:docPartObj>
            <w:docPartGallery w:val="Page Numbers (Top of Page)"/>
            <w:docPartUnique/>
          </w:docPartObj>
        </w:sdtPr>
        <w:sdtEndPr/>
        <w:sdtContent>
          <w:p w14:paraId="40D87C72" w14:textId="77777777" w:rsidR="00CA133C" w:rsidRPr="00F936B2" w:rsidRDefault="00CA133C" w:rsidP="0030123D">
            <w:pPr>
              <w:pStyle w:val="Footer"/>
              <w:jc w:val="center"/>
              <w:rPr>
                <w:rFonts w:ascii="Lato" w:hAnsi="Lato"/>
                <w:sz w:val="18"/>
                <w:szCs w:val="18"/>
              </w:rPr>
            </w:pPr>
          </w:p>
          <w:p w14:paraId="4C2AF8DB" w14:textId="77777777" w:rsidR="003B2EC2" w:rsidRPr="00F936B2" w:rsidRDefault="0030123D" w:rsidP="0030123D">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A3B75">
              <w:rPr>
                <w:rFonts w:ascii="Lato" w:hAnsi="Lato"/>
                <w:bCs/>
                <w:noProof/>
                <w:sz w:val="18"/>
                <w:szCs w:val="18"/>
              </w:rPr>
              <w:t>2</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15</w:t>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Lato" w:hAnsi="Lato"/>
        <w:sz w:val="18"/>
        <w:szCs w:val="18"/>
      </w:rPr>
      <w:id w:val="1642917024"/>
      <w:docPartObj>
        <w:docPartGallery w:val="Page Numbers (Bottom of Page)"/>
        <w:docPartUnique/>
      </w:docPartObj>
    </w:sdtPr>
    <w:sdtEndPr/>
    <w:sdtContent>
      <w:sdt>
        <w:sdtPr>
          <w:rPr>
            <w:rFonts w:ascii="Lato" w:hAnsi="Lato"/>
            <w:sz w:val="18"/>
            <w:szCs w:val="18"/>
          </w:rPr>
          <w:id w:val="365021202"/>
          <w:docPartObj>
            <w:docPartGallery w:val="Page Numbers (Top of Page)"/>
            <w:docPartUnique/>
          </w:docPartObj>
        </w:sdtPr>
        <w:sdtEndPr/>
        <w:sdtContent>
          <w:p w14:paraId="50C49368" w14:textId="77777777" w:rsidR="00CA133C" w:rsidRPr="00F936B2" w:rsidRDefault="00CA133C" w:rsidP="00CA133C">
            <w:pPr>
              <w:pStyle w:val="Footer"/>
              <w:jc w:val="center"/>
              <w:rPr>
                <w:rFonts w:ascii="Lato" w:hAnsi="Lato"/>
                <w:sz w:val="18"/>
                <w:szCs w:val="18"/>
              </w:rPr>
            </w:pPr>
          </w:p>
          <w:p w14:paraId="2057E562" w14:textId="77777777" w:rsidR="003B2EC2" w:rsidRPr="00F936B2" w:rsidRDefault="00CA133C" w:rsidP="00CA133C">
            <w:pPr>
              <w:pStyle w:val="Footer"/>
              <w:jc w:val="center"/>
              <w:rPr>
                <w:rFonts w:ascii="Lato" w:hAnsi="Lato"/>
                <w:sz w:val="18"/>
                <w:szCs w:val="18"/>
                <w:lang w:val="en-US"/>
              </w:rPr>
            </w:pPr>
            <w:r w:rsidRPr="00F936B2">
              <w:rPr>
                <w:rFonts w:ascii="Lato" w:hAnsi="Lato"/>
                <w:sz w:val="18"/>
                <w:szCs w:val="18"/>
              </w:rPr>
              <w:t xml:space="preserve">Page </w:t>
            </w:r>
            <w:r w:rsidRPr="00F936B2">
              <w:rPr>
                <w:rFonts w:ascii="Lato" w:hAnsi="Lato"/>
                <w:bCs/>
                <w:sz w:val="18"/>
                <w:szCs w:val="18"/>
              </w:rPr>
              <w:fldChar w:fldCharType="begin"/>
            </w:r>
            <w:r w:rsidRPr="00F936B2">
              <w:rPr>
                <w:rFonts w:ascii="Lato" w:hAnsi="Lato"/>
                <w:bCs/>
                <w:sz w:val="18"/>
                <w:szCs w:val="18"/>
              </w:rPr>
              <w:instrText xml:space="preserve"> PAGE </w:instrText>
            </w:r>
            <w:r w:rsidRPr="00F936B2">
              <w:rPr>
                <w:rFonts w:ascii="Lato" w:hAnsi="Lato"/>
                <w:bCs/>
                <w:sz w:val="18"/>
                <w:szCs w:val="18"/>
              </w:rPr>
              <w:fldChar w:fldCharType="separate"/>
            </w:r>
            <w:r w:rsidR="00EA3B75">
              <w:rPr>
                <w:rFonts w:ascii="Lato" w:hAnsi="Lato"/>
                <w:bCs/>
                <w:noProof/>
                <w:sz w:val="18"/>
                <w:szCs w:val="18"/>
              </w:rPr>
              <w:t>3</w:t>
            </w:r>
            <w:r w:rsidRPr="00F936B2">
              <w:rPr>
                <w:rFonts w:ascii="Lato" w:hAnsi="Lato"/>
                <w:bCs/>
                <w:sz w:val="18"/>
                <w:szCs w:val="18"/>
              </w:rPr>
              <w:fldChar w:fldCharType="end"/>
            </w:r>
            <w:r w:rsidRPr="00F936B2">
              <w:rPr>
                <w:rFonts w:ascii="Lato" w:hAnsi="Lato"/>
                <w:sz w:val="18"/>
                <w:szCs w:val="18"/>
              </w:rPr>
              <w:t xml:space="preserve"> of </w:t>
            </w:r>
            <w:r w:rsidRPr="00F936B2">
              <w:rPr>
                <w:rFonts w:ascii="Lato" w:hAnsi="Lato"/>
                <w:bCs/>
                <w:sz w:val="18"/>
                <w:szCs w:val="18"/>
              </w:rPr>
              <w:t>7</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67FE89" w14:textId="0AA6CEBF" w:rsidR="00CA3A48" w:rsidRPr="00E87E97" w:rsidRDefault="00CA3A48" w:rsidP="00CA3A48">
    <w:pPr>
      <w:pStyle w:val="NoSpacing"/>
      <w:rPr>
        <w:rFonts w:ascii="Georgia" w:hAnsi="Georgia"/>
        <w:color w:val="000000" w:themeColor="text1"/>
        <w:sz w:val="18"/>
        <w:szCs w:val="18"/>
      </w:rPr>
    </w:pPr>
    <w:r w:rsidRPr="007F1160">
      <w:rPr>
        <w:rStyle w:val="FootnoteReference"/>
        <w:rFonts w:ascii="Georgia" w:hAnsi="Georgia"/>
        <w:sz w:val="18"/>
        <w:szCs w:val="18"/>
      </w:rPr>
      <w:footnoteRef/>
    </w:r>
    <w:r>
      <w:rPr>
        <w:rFonts w:ascii="Georgia" w:hAnsi="Georgia"/>
        <w:sz w:val="18"/>
        <w:szCs w:val="18"/>
        <w:vertAlign w:val="superscript"/>
        <w:lang w:val="en-US"/>
      </w:rPr>
      <w:t xml:space="preserve">,2,3,4 </w:t>
    </w:r>
    <w:r>
      <w:rPr>
        <w:rFonts w:ascii="Georgia" w:hAnsi="Georgia"/>
        <w:sz w:val="18"/>
        <w:szCs w:val="18"/>
        <w:lang w:val="en-US"/>
      </w:rPr>
      <w:t>U</w:t>
    </w:r>
    <w:r w:rsidRPr="00E87E97">
      <w:rPr>
        <w:rFonts w:ascii="Georgia" w:hAnsi="Georgia"/>
        <w:color w:val="000000" w:themeColor="text1"/>
        <w:sz w:val="18"/>
        <w:szCs w:val="18"/>
        <w:lang w:val="en-US"/>
      </w:rPr>
      <w:t xml:space="preserve">niversitas Muhammadiyah Prof. Dr. Hamka, Jakarta Timur. </w:t>
    </w:r>
  </w:p>
  <w:p w14:paraId="68BFF167" w14:textId="7E9B61A9" w:rsidR="00CA3A48" w:rsidRPr="00E87E97" w:rsidRDefault="00CA3A48" w:rsidP="00CA3A48">
    <w:pPr>
      <w:pStyle w:val="NoSpacing"/>
      <w:rPr>
        <w:rFonts w:ascii="Georgia" w:hAnsi="Georgia"/>
        <w:color w:val="000000" w:themeColor="text1"/>
        <w:sz w:val="18"/>
        <w:szCs w:val="18"/>
      </w:rPr>
    </w:pPr>
    <w:r w:rsidRPr="00E87E97">
      <w:rPr>
        <w:rFonts w:ascii="Georgia" w:hAnsi="Georgia"/>
        <w:color w:val="000000" w:themeColor="text1"/>
        <w:sz w:val="18"/>
        <w:szCs w:val="18"/>
      </w:rPr>
      <w:t xml:space="preserve">Email: </w:t>
    </w:r>
    <w:hyperlink r:id="rId1" w:history="1">
      <w:r w:rsidRPr="00E87E97">
        <w:rPr>
          <w:rStyle w:val="Hyperlink"/>
          <w:rFonts w:ascii="Georgia" w:eastAsia="Times New Roman" w:hAnsi="Georgia" w:cs="Times New Roman"/>
          <w:color w:val="000000" w:themeColor="text1"/>
          <w:sz w:val="18"/>
          <w:szCs w:val="18"/>
          <w:u w:val="none"/>
        </w:rPr>
        <w:t>meitiyani@uhamka.ac.i</w:t>
      </w:r>
      <w:r w:rsidRPr="00E87E97">
        <w:rPr>
          <w:rStyle w:val="Hyperlink"/>
          <w:rFonts w:ascii="Georgia" w:eastAsia="Times New Roman" w:hAnsi="Georgia" w:cs="Times New Roman"/>
          <w:color w:val="000000" w:themeColor="text1"/>
          <w:sz w:val="18"/>
          <w:szCs w:val="18"/>
          <w:u w:val="none"/>
        </w:rPr>
        <w:t>d</w:t>
      </w:r>
    </w:hyperlink>
  </w:p>
  <w:p w14:paraId="3B2B2645" w14:textId="77777777" w:rsidR="00CA3A48" w:rsidRDefault="00CA3A48" w:rsidP="00CA133C">
    <w:pPr>
      <w:pStyle w:val="ListParagraph"/>
      <w:spacing w:after="0" w:line="240" w:lineRule="auto"/>
      <w:ind w:left="0"/>
      <w:rPr>
        <w:rStyle w:val="kcmread1114"/>
        <w:rFonts w:ascii="Georgia" w:hAnsi="Georgia" w:cs="Times New Roman"/>
        <w:sz w:val="16"/>
      </w:rPr>
    </w:pPr>
  </w:p>
  <w:p w14:paraId="2C0FEF2D" w14:textId="04B1FC5D" w:rsidR="00CA133C" w:rsidRPr="007F1160" w:rsidRDefault="00723B12" w:rsidP="00CA133C">
    <w:pPr>
      <w:pStyle w:val="ListParagraph"/>
      <w:spacing w:after="0" w:line="240" w:lineRule="auto"/>
      <w:ind w:left="0"/>
      <w:rPr>
        <w:rStyle w:val="kcmread1114"/>
        <w:rFonts w:ascii="Georgia" w:hAnsi="Georgia" w:cs="Times New Roman"/>
        <w:sz w:val="16"/>
      </w:rPr>
    </w:pPr>
    <w:proofErr w:type="gramStart"/>
    <w:r w:rsidRPr="007F1160">
      <w:rPr>
        <w:rStyle w:val="kcmread1114"/>
        <w:rFonts w:ascii="Georgia" w:hAnsi="Georgia" w:cs="Times New Roman"/>
        <w:sz w:val="16"/>
      </w:rPr>
      <w:t>Volume;issue</w:t>
    </w:r>
    <w:proofErr w:type="gramEnd"/>
    <w:r w:rsidRPr="007F1160">
      <w:rPr>
        <w:rStyle w:val="kcmread1114"/>
        <w:rFonts w:ascii="Georgia" w:hAnsi="Georgia" w:cs="Times New Roman"/>
        <w:sz w:val="16"/>
      </w:rPr>
      <w:t>;month;year</w:t>
    </w:r>
  </w:p>
  <w:p w14:paraId="7A575CA6" w14:textId="582E2867" w:rsidR="00CA133C" w:rsidRPr="007F1160" w:rsidRDefault="00CA133C" w:rsidP="00CA133C">
    <w:pPr>
      <w:pStyle w:val="ListParagraph"/>
      <w:spacing w:after="0" w:line="240" w:lineRule="auto"/>
      <w:ind w:left="0"/>
      <w:rPr>
        <w:rStyle w:val="kcmread1114"/>
        <w:rFonts w:ascii="Georgia" w:hAnsi="Georgia" w:cs="Times New Roman"/>
        <w:sz w:val="16"/>
      </w:rPr>
    </w:pPr>
    <w:r w:rsidRPr="007F1160">
      <w:rPr>
        <w:rStyle w:val="kcmread1114"/>
        <w:rFonts w:ascii="Georgia" w:hAnsi="Georgia" w:cs="Times New Roman"/>
        <w:sz w:val="16"/>
        <w:lang w:val="id-ID"/>
      </w:rPr>
      <w:t xml:space="preserve">Received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Received in revised form </w:t>
    </w:r>
    <w:r w:rsidR="00242F1D" w:rsidRPr="007F1160">
      <w:rPr>
        <w:rStyle w:val="kcmread1114"/>
        <w:rFonts w:ascii="Georgia" w:hAnsi="Georgia" w:cs="Times New Roman"/>
        <w:sz w:val="16"/>
        <w:lang w:val="id-ID"/>
      </w:rPr>
      <w:t>date month year</w:t>
    </w:r>
    <w:r w:rsidRPr="007F1160">
      <w:rPr>
        <w:rStyle w:val="kcmread1114"/>
        <w:rFonts w:ascii="Georgia" w:hAnsi="Georgia" w:cs="Times New Roman"/>
        <w:sz w:val="16"/>
        <w:lang w:val="id-ID"/>
      </w:rPr>
      <w:t xml:space="preserve">; Accepted  </w:t>
    </w:r>
    <w:r w:rsidR="00242F1D" w:rsidRPr="007F1160">
      <w:rPr>
        <w:rStyle w:val="kcmread1114"/>
        <w:rFonts w:ascii="Georgia" w:hAnsi="Georgia" w:cs="Times New Roman"/>
        <w:sz w:val="16"/>
        <w:lang w:val="id-ID"/>
      </w:rPr>
      <w:t>date month year</w:t>
    </w:r>
    <w:r w:rsidR="00723B12" w:rsidRPr="007F1160">
      <w:rPr>
        <w:rStyle w:val="kcmread1114"/>
        <w:rFonts w:ascii="Georgia" w:hAnsi="Georgia" w:cs="Times New Roman"/>
        <w:sz w:val="16"/>
      </w:rPr>
      <w:t>;</w:t>
    </w:r>
    <w:r w:rsidR="00723B12" w:rsidRPr="007F1160">
      <w:rPr>
        <w:rStyle w:val="kcmread1114"/>
        <w:rFonts w:ascii="Georgia" w:hAnsi="Georgia" w:cs="Times New Roman"/>
        <w:sz w:val="16"/>
        <w:lang w:val="id-ID"/>
      </w:rPr>
      <w:t xml:space="preserve"> Available online date month year</w:t>
    </w:r>
  </w:p>
  <w:p w14:paraId="4D87A6EA" w14:textId="32D2C14F" w:rsidR="00723B12" w:rsidRPr="00723B12" w:rsidRDefault="00723B12" w:rsidP="00723B12">
    <w:pPr>
      <w:shd w:val="clear" w:color="auto" w:fill="FFFFFF"/>
      <w:spacing w:after="0" w:line="240" w:lineRule="auto"/>
      <w:rPr>
        <w:rFonts w:ascii="Georgia" w:eastAsia="Times New Roman" w:hAnsi="Georgia" w:cs="Arial"/>
        <w:sz w:val="16"/>
        <w:szCs w:val="16"/>
        <w:lang w:val="en-US" w:eastAsia="en-US"/>
      </w:rPr>
    </w:pPr>
    <w:r w:rsidRPr="00723B12">
      <w:rPr>
        <w:rFonts w:ascii="Georgia" w:eastAsia="Times New Roman" w:hAnsi="Georgia" w:cs="Arial"/>
        <w:sz w:val="16"/>
        <w:szCs w:val="16"/>
        <w:lang w:val="en-US" w:eastAsia="en-US"/>
      </w:rPr>
      <w:t xml:space="preserve">This is an open access article under </w:t>
    </w:r>
    <w:r w:rsidR="007F1160" w:rsidRPr="007F1160">
      <w:rPr>
        <w:rFonts w:ascii="Georgia" w:hAnsi="Georgia" w:cs="Arial"/>
        <w:color w:val="333333"/>
        <w:sz w:val="16"/>
        <w:szCs w:val="16"/>
        <w:shd w:val="clear" w:color="auto" w:fill="FFFFFF"/>
      </w:rPr>
      <w:t>a </w:t>
    </w:r>
    <w:hyperlink r:id="rId2" w:history="1">
      <w:r w:rsidR="007F1160" w:rsidRPr="007F1160">
        <w:rPr>
          <w:rStyle w:val="Hyperlink"/>
          <w:rFonts w:ascii="Georgia" w:hAnsi="Georgia" w:cs="Arial"/>
          <w:color w:val="0D355E"/>
          <w:sz w:val="16"/>
          <w:szCs w:val="16"/>
          <w:shd w:val="clear" w:color="auto" w:fill="FFFFFF"/>
        </w:rPr>
        <w:t>Creative Commons Attribution-NonCommercial-ShareAlike 4.0 International License</w:t>
      </w:r>
    </w:hyperlink>
    <w:r w:rsidR="007F1160" w:rsidRPr="007F1160">
      <w:rPr>
        <w:rFonts w:ascii="Georgia" w:hAnsi="Georgia" w:cs="Arial"/>
        <w:color w:val="333333"/>
        <w:sz w:val="16"/>
        <w:szCs w:val="16"/>
        <w:shd w:val="clear" w:color="auto" w:fill="FFFFFF"/>
      </w:rPr>
      <w:t>.</w:t>
    </w:r>
  </w:p>
  <w:p w14:paraId="048A3B34" w14:textId="7DD0EB8E" w:rsidR="000A1372" w:rsidRPr="00723B12" w:rsidRDefault="000A1372" w:rsidP="000D63D4">
    <w:pPr>
      <w:pStyle w:val="ListParagraph"/>
      <w:spacing w:after="0" w:line="240" w:lineRule="auto"/>
      <w:ind w:left="0"/>
      <w:rPr>
        <w:rFonts w:ascii="Lato" w:hAnsi="Lato" w:cs="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634C36" w14:textId="77777777" w:rsidR="008D7161" w:rsidRDefault="008D7161">
      <w:pPr>
        <w:spacing w:after="0" w:line="240" w:lineRule="auto"/>
      </w:pPr>
      <w:r>
        <w:separator/>
      </w:r>
    </w:p>
  </w:footnote>
  <w:footnote w:type="continuationSeparator" w:id="0">
    <w:p w14:paraId="0D63E735" w14:textId="77777777" w:rsidR="008D7161" w:rsidRDefault="008D7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Georgia" w:hAnsi="Georgia"/>
        <w:b/>
        <w:sz w:val="16"/>
        <w:szCs w:val="16"/>
      </w:rPr>
      <w:id w:val="-1149280173"/>
      <w:docPartObj>
        <w:docPartGallery w:val="Page Numbers (Top of Page)"/>
        <w:docPartUnique/>
      </w:docPartObj>
    </w:sdtPr>
    <w:sdtEndPr>
      <w:rPr>
        <w:b w:val="0"/>
        <w:i/>
        <w:iCs/>
        <w:color w:val="808080" w:themeColor="background1" w:themeShade="80"/>
        <w:spacing w:val="60"/>
      </w:rPr>
    </w:sdtEndPr>
    <w:sdtContent>
      <w:p w14:paraId="04D01151" w14:textId="77777777" w:rsidR="003D31E3" w:rsidRPr="0065735E" w:rsidRDefault="007F1160" w:rsidP="007F1160">
        <w:pPr>
          <w:pStyle w:val="Header"/>
          <w:pBdr>
            <w:bottom w:val="single" w:sz="4" w:space="1" w:color="D9D9D9" w:themeColor="background1" w:themeShade="D9"/>
          </w:pBdr>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00F052E7" w:rsidRPr="0065735E">
          <w:rPr>
            <w:rStyle w:val="kcmread1114"/>
            <w:rFonts w:ascii="Georgia" w:hAnsi="Georgia"/>
            <w:sz w:val="16"/>
            <w:szCs w:val="16"/>
          </w:rPr>
          <w:t>,</w:t>
        </w:r>
        <w:r w:rsidR="00E00691" w:rsidRPr="0065735E">
          <w:rPr>
            <w:rStyle w:val="kcmread1114"/>
            <w:rFonts w:ascii="Georgia" w:hAnsi="Georgia"/>
            <w:sz w:val="16"/>
            <w:szCs w:val="16"/>
            <w:lang w:val="en-US"/>
          </w:rPr>
          <w:t xml:space="preserve"> year, vol</w:t>
        </w:r>
        <w:r w:rsidR="003D31E3" w:rsidRPr="0065735E">
          <w:rPr>
            <w:rStyle w:val="kcmread1114"/>
            <w:rFonts w:ascii="Georgia" w:hAnsi="Georgia"/>
            <w:sz w:val="16"/>
            <w:szCs w:val="16"/>
            <w:lang w:val="en-US"/>
          </w:rPr>
          <w:t xml:space="preserve"> </w:t>
        </w:r>
        <w:r w:rsidR="00E00691" w:rsidRPr="0065735E">
          <w:rPr>
            <w:rStyle w:val="kcmread1114"/>
            <w:rFonts w:ascii="Georgia" w:hAnsi="Georgia"/>
            <w:sz w:val="16"/>
            <w:szCs w:val="16"/>
            <w:lang w:val="en-US"/>
          </w:rPr>
          <w:t>(issue),</w:t>
        </w:r>
        <w:r w:rsidR="00F052E7" w:rsidRPr="0065735E">
          <w:rPr>
            <w:rStyle w:val="kcmread1114"/>
            <w:rFonts w:ascii="Georgia" w:hAnsi="Georgia"/>
            <w:sz w:val="16"/>
            <w:szCs w:val="16"/>
          </w:rPr>
          <w:t xml:space="preserve"> Pages </w:t>
        </w:r>
        <w:proofErr w:type="gramStart"/>
        <w:r w:rsidR="004D6996" w:rsidRPr="0065735E">
          <w:rPr>
            <w:rStyle w:val="kcmread1114"/>
            <w:rFonts w:ascii="Georgia" w:hAnsi="Georgia"/>
            <w:sz w:val="16"/>
            <w:szCs w:val="16"/>
          </w:rPr>
          <w:t>.....</w:t>
        </w:r>
        <w:proofErr w:type="gramEnd"/>
        <w:r w:rsidR="004D6996" w:rsidRPr="0065735E">
          <w:rPr>
            <w:rStyle w:val="kcmread1114"/>
            <w:rFonts w:ascii="Georgia" w:hAnsi="Georgia"/>
            <w:sz w:val="16"/>
            <w:szCs w:val="16"/>
          </w:rPr>
          <w:t>-.....</w:t>
        </w:r>
      </w:p>
      <w:p w14:paraId="1E8E38B7" w14:textId="77777777" w:rsidR="0065735E" w:rsidRPr="0065735E" w:rsidRDefault="0065735E" w:rsidP="0065735E">
        <w:pPr>
          <w:pStyle w:val="Header"/>
          <w:pBdr>
            <w:bottom w:val="single" w:sz="4" w:space="1" w:color="D9D9D9" w:themeColor="background1" w:themeShade="D9"/>
          </w:pBdr>
          <w:ind w:left="284"/>
          <w:rPr>
            <w:rStyle w:val="kcmread1114"/>
            <w:rFonts w:ascii="Georgia" w:hAnsi="Georgia"/>
            <w:sz w:val="16"/>
            <w:szCs w:val="16"/>
            <w:lang w:val="en-US"/>
          </w:rPr>
        </w:pPr>
      </w:p>
      <w:p w14:paraId="35148DEC" w14:textId="4CAEFD68" w:rsidR="00F052E7" w:rsidRPr="0065735E" w:rsidRDefault="00142499" w:rsidP="007F1160">
        <w:pPr>
          <w:pStyle w:val="Header"/>
          <w:pBdr>
            <w:bottom w:val="single" w:sz="4" w:space="1" w:color="D9D9D9" w:themeColor="background1" w:themeShade="D9"/>
          </w:pBdr>
          <w:rPr>
            <w:rFonts w:ascii="Georgia" w:hAnsi="Georgia"/>
            <w:b/>
            <w:bCs/>
            <w:i/>
            <w:iCs/>
            <w:sz w:val="16"/>
            <w:szCs w:val="16"/>
          </w:rPr>
        </w:pPr>
        <w:r>
          <w:rPr>
            <w:rStyle w:val="kcmread1114"/>
            <w:rFonts w:ascii="Georgia" w:hAnsi="Georgia"/>
            <w:i/>
            <w:iCs/>
            <w:sz w:val="16"/>
            <w:szCs w:val="16"/>
            <w:lang w:val="en-US"/>
          </w:rPr>
          <w:t>Author</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Lato" w:hAnsi="Lato"/>
        <w:color w:val="7F7F7F" w:themeColor="background1" w:themeShade="7F"/>
        <w:spacing w:val="60"/>
        <w:sz w:val="18"/>
        <w:szCs w:val="18"/>
      </w:rPr>
      <w:id w:val="-1627004675"/>
      <w:docPartObj>
        <w:docPartGallery w:val="Page Numbers (Top of Page)"/>
        <w:docPartUnique/>
      </w:docPartObj>
    </w:sdtPr>
    <w:sdtEndPr>
      <w:rPr>
        <w:b/>
        <w:bCs/>
        <w:noProof/>
        <w:color w:val="auto"/>
        <w:spacing w:val="0"/>
      </w:rPr>
    </w:sdtEndPr>
    <w:sdtContent>
      <w:sdt>
        <w:sdtPr>
          <w:rPr>
            <w:rFonts w:ascii="Georgia" w:hAnsi="Georgia"/>
            <w:b/>
            <w:sz w:val="16"/>
            <w:szCs w:val="16"/>
          </w:rPr>
          <w:id w:val="125820580"/>
          <w:docPartObj>
            <w:docPartGallery w:val="Page Numbers (Top of Page)"/>
            <w:docPartUnique/>
          </w:docPartObj>
        </w:sdtPr>
        <w:sdtEndPr>
          <w:rPr>
            <w:b w:val="0"/>
            <w:i/>
            <w:iCs/>
            <w:color w:val="808080" w:themeColor="background1" w:themeShade="80"/>
            <w:spacing w:val="60"/>
          </w:rPr>
        </w:sdtEndPr>
        <w:sdtContent>
          <w:p w14:paraId="56DBCA6A" w14:textId="77777777" w:rsidR="00D704E1" w:rsidRPr="0065735E" w:rsidRDefault="00D704E1" w:rsidP="00D704E1">
            <w:pPr>
              <w:pStyle w:val="Header"/>
              <w:pBdr>
                <w:bottom w:val="single" w:sz="4" w:space="1" w:color="D9D9D9" w:themeColor="background1" w:themeShade="D9"/>
              </w:pBdr>
              <w:jc w:val="right"/>
              <w:rPr>
                <w:rStyle w:val="kcmread1114"/>
                <w:rFonts w:ascii="Georgia" w:hAnsi="Georgia"/>
                <w:sz w:val="16"/>
                <w:szCs w:val="16"/>
                <w:lang w:val="en-US"/>
              </w:rPr>
            </w:pPr>
            <w:r w:rsidRPr="0065735E">
              <w:rPr>
                <w:rStyle w:val="kcmread1114"/>
                <w:rFonts w:ascii="Georgia" w:hAnsi="Georgia"/>
                <w:sz w:val="16"/>
                <w:szCs w:val="16"/>
                <w:lang w:val="en-US"/>
              </w:rPr>
              <w:t>Al- Ishlah: Jurnal Pendidikan</w:t>
            </w:r>
            <w:r w:rsidRPr="0065735E">
              <w:rPr>
                <w:rStyle w:val="kcmread1114"/>
                <w:rFonts w:ascii="Georgia" w:hAnsi="Georgia"/>
                <w:sz w:val="16"/>
                <w:szCs w:val="16"/>
              </w:rPr>
              <w:t>,</w:t>
            </w:r>
            <w:r w:rsidRPr="0065735E">
              <w:rPr>
                <w:rStyle w:val="kcmread1114"/>
                <w:rFonts w:ascii="Georgia" w:hAnsi="Georgia"/>
                <w:sz w:val="16"/>
                <w:szCs w:val="16"/>
                <w:lang w:val="en-US"/>
              </w:rPr>
              <w:t xml:space="preserve"> year, vol (issue),</w:t>
            </w:r>
            <w:r w:rsidRPr="0065735E">
              <w:rPr>
                <w:rStyle w:val="kcmread1114"/>
                <w:rFonts w:ascii="Georgia" w:hAnsi="Georgia"/>
                <w:sz w:val="16"/>
                <w:szCs w:val="16"/>
              </w:rPr>
              <w:t xml:space="preserve"> Pages </w:t>
            </w:r>
            <w:proofErr w:type="gramStart"/>
            <w:r w:rsidRPr="0065735E">
              <w:rPr>
                <w:rStyle w:val="kcmread1114"/>
                <w:rFonts w:ascii="Georgia" w:hAnsi="Georgia"/>
                <w:sz w:val="16"/>
                <w:szCs w:val="16"/>
              </w:rPr>
              <w:t>.....</w:t>
            </w:r>
            <w:proofErr w:type="gramEnd"/>
            <w:r w:rsidRPr="0065735E">
              <w:rPr>
                <w:rStyle w:val="kcmread1114"/>
                <w:rFonts w:ascii="Georgia" w:hAnsi="Georgia"/>
                <w:sz w:val="16"/>
                <w:szCs w:val="16"/>
              </w:rPr>
              <w:t>-.....</w:t>
            </w:r>
          </w:p>
          <w:p w14:paraId="48F12889" w14:textId="77777777" w:rsidR="00D704E1" w:rsidRPr="0065735E" w:rsidRDefault="00D704E1" w:rsidP="00D704E1">
            <w:pPr>
              <w:pStyle w:val="Header"/>
              <w:pBdr>
                <w:bottom w:val="single" w:sz="4" w:space="1" w:color="D9D9D9" w:themeColor="background1" w:themeShade="D9"/>
              </w:pBdr>
              <w:ind w:left="284"/>
              <w:jc w:val="right"/>
              <w:rPr>
                <w:rStyle w:val="kcmread1114"/>
                <w:rFonts w:ascii="Georgia" w:hAnsi="Georgia"/>
                <w:sz w:val="16"/>
                <w:szCs w:val="16"/>
                <w:lang w:val="en-US"/>
              </w:rPr>
            </w:pPr>
          </w:p>
          <w:p w14:paraId="66ACFC6A" w14:textId="77777777" w:rsidR="00D704E1" w:rsidRDefault="00D704E1" w:rsidP="00D704E1">
            <w:pPr>
              <w:pStyle w:val="Header"/>
              <w:pBdr>
                <w:bottom w:val="single" w:sz="4" w:space="1" w:color="D9D9D9" w:themeColor="background1" w:themeShade="D9"/>
              </w:pBdr>
              <w:jc w:val="right"/>
              <w:rPr>
                <w:rFonts w:ascii="Georgia" w:hAnsi="Georgia"/>
                <w:i/>
                <w:iCs/>
                <w:color w:val="808080" w:themeColor="background1" w:themeShade="80"/>
                <w:spacing w:val="60"/>
                <w:sz w:val="16"/>
                <w:szCs w:val="16"/>
              </w:rPr>
            </w:pPr>
            <w:r w:rsidRPr="0065735E">
              <w:rPr>
                <w:rStyle w:val="kcmread1114"/>
                <w:rFonts w:ascii="Georgia" w:hAnsi="Georgia"/>
                <w:i/>
                <w:iCs/>
                <w:sz w:val="16"/>
                <w:szCs w:val="16"/>
                <w:lang w:val="en-US"/>
              </w:rPr>
              <w:t>Manucript Title</w:t>
            </w:r>
          </w:p>
        </w:sdtContent>
      </w:sdt>
      <w:p w14:paraId="5CBC56EE" w14:textId="406E3C13" w:rsidR="0030123D" w:rsidRPr="0030123D" w:rsidRDefault="008D7161" w:rsidP="00D704E1">
        <w:pPr>
          <w:pStyle w:val="Header"/>
          <w:pBdr>
            <w:bottom w:val="single" w:sz="4" w:space="1" w:color="D9D9D9" w:themeColor="background1" w:themeShade="D9"/>
          </w:pBdr>
          <w:jc w:val="both"/>
          <w:rPr>
            <w:rFonts w:ascii="Lato" w:hAnsi="Lato"/>
            <w:b/>
            <w:bCs/>
            <w:sz w:val="18"/>
            <w:szCs w:val="1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013679"/>
    <w:multiLevelType w:val="multilevel"/>
    <w:tmpl w:val="F350EE5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9A85B4E"/>
    <w:multiLevelType w:val="hybridMultilevel"/>
    <w:tmpl w:val="30745530"/>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2" w15:restartNumberingAfterBreak="0">
    <w:nsid w:val="5F9E7C33"/>
    <w:multiLevelType w:val="hybridMultilevel"/>
    <w:tmpl w:val="EECEDEE6"/>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mirrorMargin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5DC3"/>
    <w:rsid w:val="00004FDF"/>
    <w:rsid w:val="00034974"/>
    <w:rsid w:val="00045523"/>
    <w:rsid w:val="000923FA"/>
    <w:rsid w:val="00094241"/>
    <w:rsid w:val="000A1372"/>
    <w:rsid w:val="000D63D4"/>
    <w:rsid w:val="000E10A5"/>
    <w:rsid w:val="00142499"/>
    <w:rsid w:val="00187215"/>
    <w:rsid w:val="00191E4B"/>
    <w:rsid w:val="00195DC3"/>
    <w:rsid w:val="001A43E8"/>
    <w:rsid w:val="001B56A4"/>
    <w:rsid w:val="001C1C20"/>
    <w:rsid w:val="001C1DBB"/>
    <w:rsid w:val="001E6580"/>
    <w:rsid w:val="00226D20"/>
    <w:rsid w:val="002277F1"/>
    <w:rsid w:val="00242F1D"/>
    <w:rsid w:val="0026086C"/>
    <w:rsid w:val="00270523"/>
    <w:rsid w:val="00276A73"/>
    <w:rsid w:val="002B204C"/>
    <w:rsid w:val="002B33CE"/>
    <w:rsid w:val="002E1B85"/>
    <w:rsid w:val="0030123D"/>
    <w:rsid w:val="00310E75"/>
    <w:rsid w:val="00337425"/>
    <w:rsid w:val="00342595"/>
    <w:rsid w:val="0035249E"/>
    <w:rsid w:val="00374492"/>
    <w:rsid w:val="00386B0D"/>
    <w:rsid w:val="003979C0"/>
    <w:rsid w:val="003B1980"/>
    <w:rsid w:val="003B2EC2"/>
    <w:rsid w:val="003C335A"/>
    <w:rsid w:val="003D31E3"/>
    <w:rsid w:val="003D7C70"/>
    <w:rsid w:val="003F41DE"/>
    <w:rsid w:val="0041029B"/>
    <w:rsid w:val="004877B4"/>
    <w:rsid w:val="004B4465"/>
    <w:rsid w:val="004D042C"/>
    <w:rsid w:val="004D0B4C"/>
    <w:rsid w:val="004D277C"/>
    <w:rsid w:val="004D6996"/>
    <w:rsid w:val="004F5E88"/>
    <w:rsid w:val="005272FD"/>
    <w:rsid w:val="005C6962"/>
    <w:rsid w:val="00603B75"/>
    <w:rsid w:val="00637B7B"/>
    <w:rsid w:val="00653CA6"/>
    <w:rsid w:val="0065735E"/>
    <w:rsid w:val="00723B12"/>
    <w:rsid w:val="007C0351"/>
    <w:rsid w:val="007F1160"/>
    <w:rsid w:val="00882628"/>
    <w:rsid w:val="008A2DFB"/>
    <w:rsid w:val="008B059D"/>
    <w:rsid w:val="008D3325"/>
    <w:rsid w:val="008D7161"/>
    <w:rsid w:val="00901769"/>
    <w:rsid w:val="009029D4"/>
    <w:rsid w:val="0094100F"/>
    <w:rsid w:val="00954C41"/>
    <w:rsid w:val="00A1672C"/>
    <w:rsid w:val="00A225F2"/>
    <w:rsid w:val="00B04340"/>
    <w:rsid w:val="00B10F0A"/>
    <w:rsid w:val="00B24C2D"/>
    <w:rsid w:val="00B252FF"/>
    <w:rsid w:val="00B55E4A"/>
    <w:rsid w:val="00B820B6"/>
    <w:rsid w:val="00BC2EA3"/>
    <w:rsid w:val="00CA133C"/>
    <w:rsid w:val="00CA3287"/>
    <w:rsid w:val="00CA3A48"/>
    <w:rsid w:val="00CC3C5F"/>
    <w:rsid w:val="00CE0D27"/>
    <w:rsid w:val="00D46931"/>
    <w:rsid w:val="00D704E1"/>
    <w:rsid w:val="00D806DB"/>
    <w:rsid w:val="00DE16E4"/>
    <w:rsid w:val="00E00691"/>
    <w:rsid w:val="00E14796"/>
    <w:rsid w:val="00E25823"/>
    <w:rsid w:val="00E41319"/>
    <w:rsid w:val="00E77675"/>
    <w:rsid w:val="00E87E97"/>
    <w:rsid w:val="00EA3B75"/>
    <w:rsid w:val="00ED6711"/>
    <w:rsid w:val="00EE74FF"/>
    <w:rsid w:val="00F052E7"/>
    <w:rsid w:val="00F6210B"/>
    <w:rsid w:val="00F701AA"/>
    <w:rsid w:val="00F70FF8"/>
    <w:rsid w:val="00F92943"/>
    <w:rsid w:val="00F936B2"/>
    <w:rsid w:val="00F956D0"/>
    <w:rsid w:val="00FE61E6"/>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A2C956"/>
  <w15:docId w15:val="{4525A6C9-C8D9-6846-8098-7248FB921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
    <w:basedOn w:val="Normal"/>
    <w:link w:val="FootnoteTextChar"/>
    <w:uiPriority w:val="99"/>
    <w:unhideWhenUsed/>
    <w:rsid w:val="00F6210B"/>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val="en-US"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39"/>
    <w:rsid w:val="00F052E7"/>
    <w:pPr>
      <w:spacing w:after="0" w:line="240" w:lineRule="auto"/>
    </w:pPr>
    <w:rPr>
      <w:rFonts w:ascii="Times New Roman" w:eastAsia="Times New Roman" w:hAnsi="Times New Roman" w:cs="Times New Roman"/>
      <w:sz w:val="20"/>
      <w:szCs w:val="20"/>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1">
    <w:name w:val="Unresolved Mentio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NormalWeb">
    <w:name w:val="Normal (Web)"/>
    <w:basedOn w:val="Normal"/>
    <w:uiPriority w:val="99"/>
    <w:unhideWhenUsed/>
    <w:rsid w:val="00034974"/>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A3A4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8470399">
      <w:bodyDiv w:val="1"/>
      <w:marLeft w:val="0"/>
      <w:marRight w:val="0"/>
      <w:marTop w:val="0"/>
      <w:marBottom w:val="0"/>
      <w:divBdr>
        <w:top w:val="none" w:sz="0" w:space="0" w:color="auto"/>
        <w:left w:val="none" w:sz="0" w:space="0" w:color="auto"/>
        <w:bottom w:val="none" w:sz="0" w:space="0" w:color="auto"/>
        <w:right w:val="none" w:sz="0" w:space="0" w:color="auto"/>
      </w:divBdr>
    </w:div>
    <w:div w:id="1101998338">
      <w:bodyDiv w:val="1"/>
      <w:marLeft w:val="0"/>
      <w:marRight w:val="0"/>
      <w:marTop w:val="0"/>
      <w:marBottom w:val="0"/>
      <w:divBdr>
        <w:top w:val="none" w:sz="0" w:space="0" w:color="auto"/>
        <w:left w:val="none" w:sz="0" w:space="0" w:color="auto"/>
        <w:bottom w:val="none" w:sz="0" w:space="0" w:color="auto"/>
        <w:right w:val="none" w:sz="0" w:space="0" w:color="auto"/>
      </w:divBdr>
    </w:div>
    <w:div w:id="1599479389">
      <w:bodyDiv w:val="1"/>
      <w:marLeft w:val="0"/>
      <w:marRight w:val="0"/>
      <w:marTop w:val="0"/>
      <w:marBottom w:val="0"/>
      <w:divBdr>
        <w:top w:val="none" w:sz="0" w:space="0" w:color="auto"/>
        <w:left w:val="none" w:sz="0" w:space="0" w:color="auto"/>
        <w:bottom w:val="none" w:sz="0" w:space="0" w:color="auto"/>
        <w:right w:val="none" w:sz="0" w:space="0" w:color="auto"/>
      </w:divBdr>
      <w:divsChild>
        <w:div w:id="1510831544">
          <w:marLeft w:val="0"/>
          <w:marRight w:val="0"/>
          <w:marTop w:val="0"/>
          <w:marBottom w:val="0"/>
          <w:divBdr>
            <w:top w:val="none" w:sz="0" w:space="0" w:color="auto"/>
            <w:left w:val="none" w:sz="0" w:space="0" w:color="auto"/>
            <w:bottom w:val="none" w:sz="0" w:space="0" w:color="auto"/>
            <w:right w:val="none" w:sz="0" w:space="0" w:color="auto"/>
          </w:divBdr>
        </w:div>
        <w:div w:id="916062858">
          <w:marLeft w:val="0"/>
          <w:marRight w:val="0"/>
          <w:marTop w:val="0"/>
          <w:marBottom w:val="0"/>
          <w:divBdr>
            <w:top w:val="none" w:sz="0" w:space="0" w:color="auto"/>
            <w:left w:val="none" w:sz="0" w:space="0" w:color="auto"/>
            <w:bottom w:val="none" w:sz="0" w:space="0" w:color="auto"/>
            <w:right w:val="none" w:sz="0" w:space="0" w:color="auto"/>
          </w:divBdr>
        </w:div>
      </w:divsChild>
    </w:div>
    <w:div w:id="18902617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2.jpeg"/><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journal.staihubbulwathan.id/index.php/alishlah" TargetMode="External"/><Relationship Id="rId17" Type="http://schemas.openxmlformats.org/officeDocument/2006/relationships/chart" Target="charts/chart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lipi.go.id/149517956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footer" Target="footer3.xml"/><Relationship Id="rId10" Type="http://schemas.openxmlformats.org/officeDocument/2006/relationships/hyperlink" Target="http://u.lipi.go.id/1432364757"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aj.org/" TargetMode="External"/><Relationship Id="rId14" Type="http://schemas.openxmlformats.org/officeDocument/2006/relationships/chart" Target="charts/chart1.xml"/><Relationship Id="rId22"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creativecommons.org/licenses/by-nc-sa/4.0/" TargetMode="External"/><Relationship Id="rId1" Type="http://schemas.openxmlformats.org/officeDocument/2006/relationships/hyperlink" Target="mailto:meitiyani@uhamka.ac.id"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d-ID" sz="1000" b="0">
                <a:latin typeface="Segoe UI" pitchFamily="34" charset="0"/>
                <a:cs typeface="Segoe UI" pitchFamily="34" charset="0"/>
              </a:rPr>
              <a:t>Economy</a:t>
            </a:r>
          </a:p>
        </c:rich>
      </c:tx>
      <c:overlay val="0"/>
    </c:title>
    <c:autoTitleDeleted val="0"/>
    <c:plotArea>
      <c:layout/>
      <c:barChart>
        <c:barDir val="col"/>
        <c:grouping val="clustered"/>
        <c:varyColors val="0"/>
        <c:ser>
          <c:idx val="0"/>
          <c:order val="0"/>
          <c:tx>
            <c:strRef>
              <c:f>Sheet1!$A$4</c:f>
              <c:strCache>
                <c:ptCount val="1"/>
                <c:pt idx="0">
                  <c:v>&lt;5 mil.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Sheet1!$B$4:$C$4</c:f>
              <c:numCache>
                <c:formatCode>0.00%</c:formatCode>
                <c:ptCount val="2"/>
                <c:pt idx="0">
                  <c:v>0.625</c:v>
                </c:pt>
                <c:pt idx="1">
                  <c:v>0.29170000000000001</c:v>
                </c:pt>
              </c:numCache>
            </c:numRef>
          </c:val>
          <c:extLst>
            <c:ext xmlns:c16="http://schemas.microsoft.com/office/drawing/2014/chart" uri="{C3380CC4-5D6E-409C-BE32-E72D297353CC}">
              <c16:uniqueId val="{00000000-E263-8D41-8B3F-33812561CF01}"/>
            </c:ext>
          </c:extLst>
        </c:ser>
        <c:ser>
          <c:idx val="1"/>
          <c:order val="1"/>
          <c:tx>
            <c:strRef>
              <c:f>Sheet1!$A$5</c:f>
              <c:strCache>
                <c:ptCount val="1"/>
                <c:pt idx="0">
                  <c:v>&gt;5 mil.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Sheet1!$B$5:$C$5</c:f>
              <c:numCache>
                <c:formatCode>0.00%</c:formatCode>
                <c:ptCount val="2"/>
                <c:pt idx="0">
                  <c:v>0.375</c:v>
                </c:pt>
                <c:pt idx="1">
                  <c:v>0.70829999999999993</c:v>
                </c:pt>
              </c:numCache>
            </c:numRef>
          </c:val>
          <c:extLst>
            <c:ext xmlns:c16="http://schemas.microsoft.com/office/drawing/2014/chart" uri="{C3380CC4-5D6E-409C-BE32-E72D297353CC}">
              <c16:uniqueId val="{00000001-E263-8D41-8B3F-33812561CF01}"/>
            </c:ext>
          </c:extLst>
        </c:ser>
        <c:dLbls>
          <c:showLegendKey val="0"/>
          <c:showVal val="0"/>
          <c:showCatName val="0"/>
          <c:showSerName val="0"/>
          <c:showPercent val="0"/>
          <c:showBubbleSize val="0"/>
        </c:dLbls>
        <c:gapWidth val="150"/>
        <c:axId val="286771840"/>
        <c:axId val="286773632"/>
      </c:barChart>
      <c:catAx>
        <c:axId val="286771840"/>
        <c:scaling>
          <c:orientation val="minMax"/>
        </c:scaling>
        <c:delete val="0"/>
        <c:axPos val="b"/>
        <c:numFmt formatCode="General" sourceLinked="0"/>
        <c:majorTickMark val="out"/>
        <c:minorTickMark val="none"/>
        <c:tickLblPos val="nextTo"/>
        <c:crossAx val="286773632"/>
        <c:crosses val="autoZero"/>
        <c:auto val="1"/>
        <c:lblAlgn val="ctr"/>
        <c:lblOffset val="100"/>
        <c:noMultiLvlLbl val="0"/>
      </c:catAx>
      <c:valAx>
        <c:axId val="286773632"/>
        <c:scaling>
          <c:orientation val="minMax"/>
        </c:scaling>
        <c:delete val="0"/>
        <c:axPos val="l"/>
        <c:majorGridlines>
          <c:spPr>
            <a:ln>
              <a:solidFill>
                <a:schemeClr val="bg1">
                  <a:lumMod val="75000"/>
                </a:schemeClr>
              </a:solidFill>
            </a:ln>
          </c:spPr>
        </c:majorGridlines>
        <c:numFmt formatCode="0.00%" sourceLinked="1"/>
        <c:majorTickMark val="out"/>
        <c:minorTickMark val="none"/>
        <c:tickLblPos val="nextTo"/>
        <c:spPr>
          <a:ln>
            <a:noFill/>
          </a:ln>
        </c:spPr>
        <c:crossAx val="28677184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d-ID" sz="1000" b="0">
                <a:latin typeface="Segoe UI" pitchFamily="34" charset="0"/>
                <a:cs typeface="Segoe UI" pitchFamily="34" charset="0"/>
              </a:rPr>
              <a:t>Living Environment</a:t>
            </a:r>
          </a:p>
        </c:rich>
      </c:tx>
      <c:overlay val="0"/>
    </c:title>
    <c:autoTitleDeleted val="0"/>
    <c:plotArea>
      <c:layout/>
      <c:barChart>
        <c:barDir val="col"/>
        <c:grouping val="clustered"/>
        <c:varyColors val="0"/>
        <c:ser>
          <c:idx val="0"/>
          <c:order val="0"/>
          <c:tx>
            <c:strRef>
              <c:f>Sheet1!$A$27</c:f>
              <c:strCache>
                <c:ptCount val="1"/>
                <c:pt idx="0">
                  <c:v>Rural</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Sheet1!$B$27:$C$27</c:f>
              <c:numCache>
                <c:formatCode>0.00%</c:formatCode>
                <c:ptCount val="2"/>
                <c:pt idx="0">
                  <c:v>0.33333333333333331</c:v>
                </c:pt>
                <c:pt idx="1">
                  <c:v>0.16670000000000001</c:v>
                </c:pt>
              </c:numCache>
            </c:numRef>
          </c:val>
          <c:extLst>
            <c:ext xmlns:c16="http://schemas.microsoft.com/office/drawing/2014/chart" uri="{C3380CC4-5D6E-409C-BE32-E72D297353CC}">
              <c16:uniqueId val="{00000000-9C5F-914E-8371-CFA9B2FD9EC4}"/>
            </c:ext>
          </c:extLst>
        </c:ser>
        <c:ser>
          <c:idx val="1"/>
          <c:order val="1"/>
          <c:tx>
            <c:strRef>
              <c:f>Sheet1!$A$28</c:f>
              <c:strCache>
                <c:ptCount val="1"/>
                <c:pt idx="0">
                  <c:v>Urban</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Sheet1!$B$28:$C$28</c:f>
              <c:numCache>
                <c:formatCode>0.00%</c:formatCode>
                <c:ptCount val="2"/>
                <c:pt idx="0">
                  <c:v>0.66666666666666663</c:v>
                </c:pt>
                <c:pt idx="1">
                  <c:v>0.83299999999999996</c:v>
                </c:pt>
              </c:numCache>
            </c:numRef>
          </c:val>
          <c:extLst>
            <c:ext xmlns:c16="http://schemas.microsoft.com/office/drawing/2014/chart" uri="{C3380CC4-5D6E-409C-BE32-E72D297353CC}">
              <c16:uniqueId val="{00000001-9C5F-914E-8371-CFA9B2FD9EC4}"/>
            </c:ext>
          </c:extLst>
        </c:ser>
        <c:dLbls>
          <c:showLegendKey val="0"/>
          <c:showVal val="0"/>
          <c:showCatName val="0"/>
          <c:showSerName val="0"/>
          <c:showPercent val="0"/>
          <c:showBubbleSize val="0"/>
        </c:dLbls>
        <c:gapWidth val="150"/>
        <c:axId val="286906240"/>
        <c:axId val="286907776"/>
      </c:barChart>
      <c:catAx>
        <c:axId val="286906240"/>
        <c:scaling>
          <c:orientation val="minMax"/>
        </c:scaling>
        <c:delete val="0"/>
        <c:axPos val="b"/>
        <c:numFmt formatCode="General" sourceLinked="0"/>
        <c:majorTickMark val="out"/>
        <c:minorTickMark val="none"/>
        <c:tickLblPos val="nextTo"/>
        <c:crossAx val="286907776"/>
        <c:crosses val="autoZero"/>
        <c:auto val="1"/>
        <c:lblAlgn val="ctr"/>
        <c:lblOffset val="100"/>
        <c:noMultiLvlLbl val="0"/>
      </c:catAx>
      <c:valAx>
        <c:axId val="286907776"/>
        <c:scaling>
          <c:orientation val="minMax"/>
        </c:scaling>
        <c:delete val="0"/>
        <c:axPos val="l"/>
        <c:majorGridlines>
          <c:spPr>
            <a:ln>
              <a:solidFill>
                <a:schemeClr val="bg1">
                  <a:lumMod val="75000"/>
                </a:schemeClr>
              </a:solidFill>
            </a:ln>
          </c:spPr>
        </c:majorGridlines>
        <c:numFmt formatCode="0.00%" sourceLinked="1"/>
        <c:majorTickMark val="out"/>
        <c:minorTickMark val="none"/>
        <c:tickLblPos val="nextTo"/>
        <c:spPr>
          <a:ln>
            <a:noFill/>
          </a:ln>
        </c:spPr>
        <c:crossAx val="28690624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d-ID" sz="1000" b="0">
                <a:latin typeface="Segoe UI" pitchFamily="34" charset="0"/>
                <a:cs typeface="Segoe UI" pitchFamily="34" charset="0"/>
              </a:rPr>
              <a:t>Academic Experience</a:t>
            </a:r>
          </a:p>
        </c:rich>
      </c:tx>
      <c:overlay val="0"/>
    </c:title>
    <c:autoTitleDeleted val="0"/>
    <c:plotArea>
      <c:layout/>
      <c:barChart>
        <c:barDir val="col"/>
        <c:grouping val="clustered"/>
        <c:varyColors val="0"/>
        <c:ser>
          <c:idx val="0"/>
          <c:order val="0"/>
          <c:tx>
            <c:strRef>
              <c:f>Sheet1!$A$51</c:f>
              <c:strCache>
                <c:ptCount val="1"/>
                <c:pt idx="0">
                  <c:v>Never</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Sheet1!$B$51:$C$51</c:f>
              <c:numCache>
                <c:formatCode>0.00%</c:formatCode>
                <c:ptCount val="2"/>
                <c:pt idx="0" formatCode="0%">
                  <c:v>1</c:v>
                </c:pt>
                <c:pt idx="1">
                  <c:v>0.70830000000000004</c:v>
                </c:pt>
              </c:numCache>
            </c:numRef>
          </c:val>
          <c:extLst>
            <c:ext xmlns:c16="http://schemas.microsoft.com/office/drawing/2014/chart" uri="{C3380CC4-5D6E-409C-BE32-E72D297353CC}">
              <c16:uniqueId val="{00000000-0C78-1E47-B339-C78FBDD6FF47}"/>
            </c:ext>
          </c:extLst>
        </c:ser>
        <c:ser>
          <c:idx val="1"/>
          <c:order val="1"/>
          <c:tx>
            <c:strRef>
              <c:f>Sheet1!$A$52</c:f>
              <c:strCache>
                <c:ptCount val="1"/>
                <c:pt idx="0">
                  <c:v>At least once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Sheet1!$B$52:$C$52</c:f>
              <c:numCache>
                <c:formatCode>0.00%</c:formatCode>
                <c:ptCount val="2"/>
                <c:pt idx="0">
                  <c:v>0</c:v>
                </c:pt>
                <c:pt idx="1">
                  <c:v>0.29170000000000001</c:v>
                </c:pt>
              </c:numCache>
            </c:numRef>
          </c:val>
          <c:extLst>
            <c:ext xmlns:c16="http://schemas.microsoft.com/office/drawing/2014/chart" uri="{C3380CC4-5D6E-409C-BE32-E72D297353CC}">
              <c16:uniqueId val="{00000001-0C78-1E47-B339-C78FBDD6FF47}"/>
            </c:ext>
          </c:extLst>
        </c:ser>
        <c:dLbls>
          <c:showLegendKey val="0"/>
          <c:showVal val="0"/>
          <c:showCatName val="0"/>
          <c:showSerName val="0"/>
          <c:showPercent val="0"/>
          <c:showBubbleSize val="0"/>
        </c:dLbls>
        <c:gapWidth val="150"/>
        <c:axId val="286962816"/>
        <c:axId val="286964352"/>
      </c:barChart>
      <c:catAx>
        <c:axId val="286962816"/>
        <c:scaling>
          <c:orientation val="minMax"/>
        </c:scaling>
        <c:delete val="0"/>
        <c:axPos val="b"/>
        <c:numFmt formatCode="General" sourceLinked="0"/>
        <c:majorTickMark val="out"/>
        <c:minorTickMark val="none"/>
        <c:tickLblPos val="nextTo"/>
        <c:crossAx val="286964352"/>
        <c:crosses val="autoZero"/>
        <c:auto val="1"/>
        <c:lblAlgn val="ctr"/>
        <c:lblOffset val="100"/>
        <c:noMultiLvlLbl val="0"/>
      </c:catAx>
      <c:valAx>
        <c:axId val="286964352"/>
        <c:scaling>
          <c:orientation val="minMax"/>
        </c:scaling>
        <c:delete val="0"/>
        <c:axPos val="l"/>
        <c:majorGridlines>
          <c:spPr>
            <a:ln>
              <a:solidFill>
                <a:schemeClr val="bg1">
                  <a:lumMod val="75000"/>
                </a:schemeClr>
              </a:solidFill>
            </a:ln>
          </c:spPr>
        </c:majorGridlines>
        <c:numFmt formatCode="0%" sourceLinked="1"/>
        <c:majorTickMark val="out"/>
        <c:minorTickMark val="none"/>
        <c:tickLblPos val="nextTo"/>
        <c:spPr>
          <a:ln>
            <a:noFill/>
          </a:ln>
        </c:spPr>
        <c:crossAx val="286962816"/>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d-ID" sz="900" b="0">
                <a:latin typeface="Segoe UI" pitchFamily="34" charset="0"/>
                <a:cs typeface="Segoe UI" pitchFamily="34" charset="0"/>
              </a:rPr>
              <a:t>Openess</a:t>
            </a:r>
          </a:p>
        </c:rich>
      </c:tx>
      <c:overlay val="0"/>
    </c:title>
    <c:autoTitleDeleted val="0"/>
    <c:plotArea>
      <c:layout/>
      <c:barChart>
        <c:barDir val="col"/>
        <c:grouping val="clustered"/>
        <c:varyColors val="0"/>
        <c:ser>
          <c:idx val="0"/>
          <c:order val="0"/>
          <c:tx>
            <c:strRef>
              <c:f>Sheet1!$A$74</c:f>
              <c:strCache>
                <c:ptCount val="1"/>
                <c:pt idx="0">
                  <c:v>Never</c:v>
                </c:pt>
              </c:strCache>
            </c:strRef>
          </c:tx>
          <c:invertIfNegative val="0"/>
          <c:cat>
            <c:strRef>
              <c:f>Sheet1!$B$3:$C$3</c:f>
              <c:strCache>
                <c:ptCount val="2"/>
                <c:pt idx="0">
                  <c:v>Lower Class</c:v>
                </c:pt>
                <c:pt idx="1">
                  <c:v>Upper Class</c:v>
                </c:pt>
              </c:strCache>
            </c:strRef>
          </c:cat>
          <c:val>
            <c:numRef>
              <c:f>Sheet1!$B$74:$C$74</c:f>
              <c:numCache>
                <c:formatCode>0.00%</c:formatCode>
                <c:ptCount val="2"/>
                <c:pt idx="0">
                  <c:v>0</c:v>
                </c:pt>
                <c:pt idx="1">
                  <c:v>0</c:v>
                </c:pt>
              </c:numCache>
            </c:numRef>
          </c:val>
          <c:extLst>
            <c:ext xmlns:c16="http://schemas.microsoft.com/office/drawing/2014/chart" uri="{C3380CC4-5D6E-409C-BE32-E72D297353CC}">
              <c16:uniqueId val="{00000000-B91C-754D-AD8C-ABE5B99FC447}"/>
            </c:ext>
          </c:extLst>
        </c:ser>
        <c:ser>
          <c:idx val="1"/>
          <c:order val="1"/>
          <c:tx>
            <c:strRef>
              <c:f>Sheet1!$A$75</c:f>
              <c:strCache>
                <c:ptCount val="1"/>
                <c:pt idx="0">
                  <c:v>Sometimes</c:v>
                </c:pt>
              </c:strCache>
            </c:strRef>
          </c:tx>
          <c:invertIfNegative val="0"/>
          <c:dLbls>
            <c:dLbl>
              <c:idx val="1"/>
              <c:delete val="1"/>
              <c:extLst>
                <c:ext xmlns:c15="http://schemas.microsoft.com/office/drawing/2012/chart" uri="{CE6537A1-D6FC-4f65-9D91-7224C49458BB}"/>
                <c:ext xmlns:c16="http://schemas.microsoft.com/office/drawing/2014/chart" uri="{C3380CC4-5D6E-409C-BE32-E72D297353CC}">
                  <c16:uniqueId val="{00000001-B91C-754D-AD8C-ABE5B99FC447}"/>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Sheet1!$B$75:$C$75</c:f>
              <c:numCache>
                <c:formatCode>0.00%</c:formatCode>
                <c:ptCount val="2"/>
                <c:pt idx="0">
                  <c:v>0.33333333333333331</c:v>
                </c:pt>
                <c:pt idx="1">
                  <c:v>0</c:v>
                </c:pt>
              </c:numCache>
            </c:numRef>
          </c:val>
          <c:extLst>
            <c:ext xmlns:c16="http://schemas.microsoft.com/office/drawing/2014/chart" uri="{C3380CC4-5D6E-409C-BE32-E72D297353CC}">
              <c16:uniqueId val="{00000002-B91C-754D-AD8C-ABE5B99FC447}"/>
            </c:ext>
          </c:extLst>
        </c:ser>
        <c:ser>
          <c:idx val="2"/>
          <c:order val="2"/>
          <c:tx>
            <c:strRef>
              <c:f>Sheet1!$A$76</c:f>
              <c:strCache>
                <c:ptCount val="1"/>
                <c:pt idx="0">
                  <c:v>Always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Sheet1!$B$76:$C$76</c:f>
              <c:numCache>
                <c:formatCode>0%</c:formatCode>
                <c:ptCount val="2"/>
                <c:pt idx="0" formatCode="0.00%">
                  <c:v>0.66666666666666663</c:v>
                </c:pt>
                <c:pt idx="1">
                  <c:v>1</c:v>
                </c:pt>
              </c:numCache>
            </c:numRef>
          </c:val>
          <c:extLst>
            <c:ext xmlns:c16="http://schemas.microsoft.com/office/drawing/2014/chart" uri="{C3380CC4-5D6E-409C-BE32-E72D297353CC}">
              <c16:uniqueId val="{00000003-B91C-754D-AD8C-ABE5B99FC447}"/>
            </c:ext>
          </c:extLst>
        </c:ser>
        <c:dLbls>
          <c:showLegendKey val="0"/>
          <c:showVal val="0"/>
          <c:showCatName val="0"/>
          <c:showSerName val="0"/>
          <c:showPercent val="0"/>
          <c:showBubbleSize val="0"/>
        </c:dLbls>
        <c:gapWidth val="150"/>
        <c:axId val="286856320"/>
        <c:axId val="286857856"/>
      </c:barChart>
      <c:catAx>
        <c:axId val="286856320"/>
        <c:scaling>
          <c:orientation val="minMax"/>
        </c:scaling>
        <c:delete val="0"/>
        <c:axPos val="b"/>
        <c:numFmt formatCode="General" sourceLinked="0"/>
        <c:majorTickMark val="out"/>
        <c:minorTickMark val="none"/>
        <c:tickLblPos val="nextTo"/>
        <c:crossAx val="286857856"/>
        <c:crosses val="autoZero"/>
        <c:auto val="1"/>
        <c:lblAlgn val="ctr"/>
        <c:lblOffset val="100"/>
        <c:noMultiLvlLbl val="0"/>
      </c:catAx>
      <c:valAx>
        <c:axId val="286857856"/>
        <c:scaling>
          <c:orientation val="minMax"/>
        </c:scaling>
        <c:delete val="0"/>
        <c:axPos val="l"/>
        <c:majorGridlines>
          <c:spPr>
            <a:ln>
              <a:solidFill>
                <a:schemeClr val="bg1">
                  <a:lumMod val="75000"/>
                </a:schemeClr>
              </a:solidFill>
            </a:ln>
          </c:spPr>
        </c:majorGridlines>
        <c:numFmt formatCode="0.00%" sourceLinked="1"/>
        <c:majorTickMark val="out"/>
        <c:minorTickMark val="none"/>
        <c:tickLblPos val="nextTo"/>
        <c:spPr>
          <a:ln>
            <a:noFill/>
          </a:ln>
        </c:spPr>
        <c:crossAx val="286856320"/>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id-ID" sz="900" b="0">
                <a:latin typeface="Segoe UI" pitchFamily="34" charset="0"/>
                <a:cs typeface="Segoe UI" pitchFamily="34" charset="0"/>
              </a:rPr>
              <a:t>Non-Academic Achievement</a:t>
            </a:r>
          </a:p>
        </c:rich>
      </c:tx>
      <c:overlay val="0"/>
    </c:title>
    <c:autoTitleDeleted val="0"/>
    <c:plotArea>
      <c:layout/>
      <c:barChart>
        <c:barDir val="col"/>
        <c:grouping val="clustered"/>
        <c:varyColors val="0"/>
        <c:ser>
          <c:idx val="0"/>
          <c:order val="0"/>
          <c:tx>
            <c:strRef>
              <c:f>Sheet1!$A$98</c:f>
              <c:strCache>
                <c:ptCount val="1"/>
                <c:pt idx="0">
                  <c:v>Have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Sheet1!$B$98:$C$98</c:f>
              <c:numCache>
                <c:formatCode>0.00%</c:formatCode>
                <c:ptCount val="2"/>
                <c:pt idx="0">
                  <c:v>0.95829999999999993</c:v>
                </c:pt>
                <c:pt idx="1">
                  <c:v>0.70830000000000004</c:v>
                </c:pt>
              </c:numCache>
            </c:numRef>
          </c:val>
          <c:extLst>
            <c:ext xmlns:c16="http://schemas.microsoft.com/office/drawing/2014/chart" uri="{C3380CC4-5D6E-409C-BE32-E72D297353CC}">
              <c16:uniqueId val="{00000000-3A6F-7549-8899-C7A071C7C428}"/>
            </c:ext>
          </c:extLst>
        </c:ser>
        <c:ser>
          <c:idx val="1"/>
          <c:order val="1"/>
          <c:tx>
            <c:strRef>
              <c:f>Sheet1!$A$99</c:f>
              <c:strCache>
                <c:ptCount val="1"/>
                <c:pt idx="0">
                  <c:v>Doesn't Have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Sheet1!$B$3:$C$3</c:f>
              <c:strCache>
                <c:ptCount val="2"/>
                <c:pt idx="0">
                  <c:v>Lower Class</c:v>
                </c:pt>
                <c:pt idx="1">
                  <c:v>Upper Class</c:v>
                </c:pt>
              </c:strCache>
            </c:strRef>
          </c:cat>
          <c:val>
            <c:numRef>
              <c:f>Sheet1!$B$99:$C$99</c:f>
              <c:numCache>
                <c:formatCode>0.00%</c:formatCode>
                <c:ptCount val="2"/>
                <c:pt idx="0">
                  <c:v>4.1700000000000001E-2</c:v>
                </c:pt>
                <c:pt idx="1">
                  <c:v>0.29170000000000001</c:v>
                </c:pt>
              </c:numCache>
            </c:numRef>
          </c:val>
          <c:extLst>
            <c:ext xmlns:c16="http://schemas.microsoft.com/office/drawing/2014/chart" uri="{C3380CC4-5D6E-409C-BE32-E72D297353CC}">
              <c16:uniqueId val="{00000001-3A6F-7549-8899-C7A071C7C428}"/>
            </c:ext>
          </c:extLst>
        </c:ser>
        <c:dLbls>
          <c:showLegendKey val="0"/>
          <c:showVal val="0"/>
          <c:showCatName val="0"/>
          <c:showSerName val="0"/>
          <c:showPercent val="0"/>
          <c:showBubbleSize val="0"/>
        </c:dLbls>
        <c:gapWidth val="150"/>
        <c:axId val="287330688"/>
        <c:axId val="287332224"/>
      </c:barChart>
      <c:catAx>
        <c:axId val="287330688"/>
        <c:scaling>
          <c:orientation val="minMax"/>
        </c:scaling>
        <c:delete val="0"/>
        <c:axPos val="b"/>
        <c:numFmt formatCode="General" sourceLinked="0"/>
        <c:majorTickMark val="out"/>
        <c:minorTickMark val="none"/>
        <c:tickLblPos val="nextTo"/>
        <c:crossAx val="287332224"/>
        <c:crosses val="autoZero"/>
        <c:auto val="1"/>
        <c:lblAlgn val="ctr"/>
        <c:lblOffset val="100"/>
        <c:noMultiLvlLbl val="0"/>
      </c:catAx>
      <c:valAx>
        <c:axId val="287332224"/>
        <c:scaling>
          <c:orientation val="minMax"/>
        </c:scaling>
        <c:delete val="0"/>
        <c:axPos val="l"/>
        <c:majorGridlines>
          <c:spPr>
            <a:ln>
              <a:solidFill>
                <a:schemeClr val="bg1">
                  <a:lumMod val="75000"/>
                </a:schemeClr>
              </a:solidFill>
            </a:ln>
          </c:spPr>
        </c:majorGridlines>
        <c:numFmt formatCode="0.00%" sourceLinked="1"/>
        <c:majorTickMark val="out"/>
        <c:minorTickMark val="none"/>
        <c:tickLblPos val="nextTo"/>
        <c:spPr>
          <a:ln>
            <a:noFill/>
          </a:ln>
        </c:spPr>
        <c:crossAx val="287330688"/>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981D9D96-5D1B-A648-B7E9-8F8AA19BC7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10</Pages>
  <Words>10731</Words>
  <Characters>61167</Characters>
  <Application>Microsoft Office Word</Application>
  <DocSecurity>0</DocSecurity>
  <Lines>509</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Microsoft Office User</cp:lastModifiedBy>
  <cp:revision>12</cp:revision>
  <cp:lastPrinted>2020-04-21T08:50:00Z</cp:lastPrinted>
  <dcterms:created xsi:type="dcterms:W3CDTF">2021-02-17T04:52:00Z</dcterms:created>
  <dcterms:modified xsi:type="dcterms:W3CDTF">2022-01-05T10:26:00Z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