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4E176" w14:textId="13F460A3" w:rsidR="00A9561B" w:rsidRPr="00E17B15" w:rsidRDefault="00442A6D" w:rsidP="00D71347">
      <w:pPr>
        <w:spacing w:after="0" w:line="240" w:lineRule="auto"/>
        <w:jc w:val="center"/>
        <w:rPr>
          <w:rFonts w:ascii="Palatino Linotype" w:eastAsia="Times New Roman" w:hAnsi="Palatino Linotype" w:cs="Times New Roman"/>
          <w:sz w:val="36"/>
          <w:szCs w:val="36"/>
          <w:lang w:val="en-ID" w:eastAsia="zh-CN"/>
        </w:rPr>
      </w:pPr>
      <w:r w:rsidRPr="00E17B15">
        <w:rPr>
          <w:rFonts w:ascii="Palatino Linotype" w:eastAsia="Times New Roman" w:hAnsi="Palatino Linotype" w:cs="Times New Roman"/>
          <w:color w:val="333333"/>
          <w:sz w:val="36"/>
          <w:szCs w:val="36"/>
          <w:lang w:val="en-ID" w:eastAsia="zh-CN"/>
        </w:rPr>
        <w:t>Evaluating the Suitability of Online Courses using the ELECTRE Method</w:t>
      </w:r>
    </w:p>
    <w:p w14:paraId="744A3E47" w14:textId="77777777" w:rsidR="00002AA6" w:rsidRPr="00E17B15" w:rsidRDefault="00002AA6" w:rsidP="00752380">
      <w:pPr>
        <w:spacing w:after="0"/>
        <w:jc w:val="center"/>
        <w:rPr>
          <w:rFonts w:ascii="Palatino Linotype" w:hAnsi="Palatino Linotype" w:cs="Times New Roman"/>
          <w:sz w:val="28"/>
          <w:szCs w:val="28"/>
        </w:rPr>
      </w:pPr>
    </w:p>
    <w:p w14:paraId="0B0401BD" w14:textId="00886FBE" w:rsidR="00752380" w:rsidRPr="00E17B15" w:rsidRDefault="00C864DE" w:rsidP="006771BE">
      <w:pPr>
        <w:jc w:val="center"/>
        <w:rPr>
          <w:rFonts w:ascii="Palatino Linotype" w:eastAsia="Times New Roman" w:hAnsi="Palatino Linotype" w:cs="Times New Roman"/>
          <w:sz w:val="32"/>
          <w:szCs w:val="32"/>
          <w:lang w:val="en-ID" w:eastAsia="zh-CN"/>
        </w:rPr>
      </w:pPr>
      <w:r w:rsidRPr="00E17B15">
        <w:rPr>
          <w:rFonts w:ascii="Palatino Linotype" w:eastAsia="Times New Roman" w:hAnsi="Palatino Linotype" w:cs="Times New Roman"/>
          <w:color w:val="333333"/>
          <w:sz w:val="24"/>
          <w:szCs w:val="24"/>
        </w:rPr>
        <w:t>S Sahyunu</w:t>
      </w:r>
      <w:r w:rsidRPr="00E17B15">
        <w:rPr>
          <w:rFonts w:ascii="Palatino Linotype" w:hAnsi="Palatino Linotype" w:cs="Times New Roman"/>
          <w:sz w:val="24"/>
          <w:szCs w:val="24"/>
          <w:vertAlign w:val="superscript"/>
        </w:rPr>
        <w:t>1</w:t>
      </w:r>
      <w:r w:rsidR="00B45F78" w:rsidRPr="00E17B15">
        <w:rPr>
          <w:rFonts w:ascii="Palatino Linotype" w:hAnsi="Palatino Linotype" w:cs="Times New Roman"/>
          <w:sz w:val="24"/>
          <w:szCs w:val="24"/>
          <w:vertAlign w:val="superscript"/>
        </w:rPr>
        <w:t>*</w:t>
      </w:r>
      <w:r w:rsidRPr="00E17B15">
        <w:rPr>
          <w:rFonts w:ascii="Palatino Linotype" w:hAnsi="Palatino Linotype" w:cs="Times New Roman"/>
          <w:sz w:val="24"/>
          <w:szCs w:val="24"/>
        </w:rPr>
        <w:t xml:space="preserve">, </w:t>
      </w:r>
      <w:r w:rsidR="001133B7" w:rsidRPr="00E17B15">
        <w:rPr>
          <w:rFonts w:ascii="Palatino Linotype" w:eastAsia="Times New Roman" w:hAnsi="Palatino Linotype" w:cs="Times New Roman"/>
          <w:color w:val="333333"/>
          <w:sz w:val="24"/>
          <w:szCs w:val="24"/>
          <w:lang w:val="en-ID" w:eastAsia="zh-CN"/>
        </w:rPr>
        <w:t xml:space="preserve">Jimmy </w:t>
      </w:r>
      <w:proofErr w:type="spellStart"/>
      <w:r w:rsidR="001133B7" w:rsidRPr="00E17B15">
        <w:rPr>
          <w:rFonts w:ascii="Palatino Linotype" w:eastAsia="Times New Roman" w:hAnsi="Palatino Linotype" w:cs="Times New Roman"/>
          <w:color w:val="333333"/>
          <w:sz w:val="24"/>
          <w:szCs w:val="24"/>
          <w:lang w:val="en-ID" w:eastAsia="zh-CN"/>
        </w:rPr>
        <w:t>Moedjahedy</w:t>
      </w:r>
      <w:proofErr w:type="spellEnd"/>
      <w:r w:rsidRPr="00E17B15">
        <w:rPr>
          <w:rFonts w:ascii="Palatino Linotype" w:hAnsi="Palatino Linotype" w:cs="Times New Roman"/>
          <w:sz w:val="24"/>
          <w:szCs w:val="24"/>
          <w:vertAlign w:val="superscript"/>
        </w:rPr>
        <w:t>2</w:t>
      </w:r>
      <w:r w:rsidR="000E2021" w:rsidRPr="00E17B15">
        <w:rPr>
          <w:rFonts w:ascii="Palatino Linotype" w:hAnsi="Palatino Linotype" w:cs="Times New Roman"/>
          <w:sz w:val="24"/>
          <w:szCs w:val="24"/>
        </w:rPr>
        <w:t xml:space="preserve">, </w:t>
      </w:r>
      <w:r w:rsidR="0098072F" w:rsidRPr="00E17B15">
        <w:rPr>
          <w:rFonts w:ascii="Palatino Linotype" w:eastAsia="Times New Roman" w:hAnsi="Palatino Linotype" w:cs="Times New Roman"/>
          <w:color w:val="333333"/>
          <w:sz w:val="24"/>
          <w:szCs w:val="24"/>
          <w:lang w:val="en-ID" w:eastAsia="zh-CN"/>
        </w:rPr>
        <w:t xml:space="preserve">Iwan </w:t>
      </w:r>
      <w:proofErr w:type="spellStart"/>
      <w:r w:rsidR="0098072F" w:rsidRPr="00E17B15">
        <w:rPr>
          <w:rFonts w:ascii="Palatino Linotype" w:eastAsia="Times New Roman" w:hAnsi="Palatino Linotype" w:cs="Times New Roman"/>
          <w:color w:val="333333"/>
          <w:sz w:val="24"/>
          <w:szCs w:val="24"/>
          <w:lang w:val="en-ID" w:eastAsia="zh-CN"/>
        </w:rPr>
        <w:t>Adhicandra</w:t>
      </w:r>
      <w:proofErr w:type="spellEnd"/>
      <w:r w:rsidR="000E2021" w:rsidRPr="00E17B15">
        <w:rPr>
          <w:rFonts w:ascii="Palatino Linotype" w:hAnsi="Palatino Linotype" w:cs="Times New Roman"/>
          <w:sz w:val="24"/>
          <w:szCs w:val="24"/>
          <w:vertAlign w:val="superscript"/>
        </w:rPr>
        <w:t>3</w:t>
      </w:r>
      <w:r w:rsidR="000E2021" w:rsidRPr="00E17B15">
        <w:rPr>
          <w:rFonts w:ascii="Palatino Linotype" w:hAnsi="Palatino Linotype" w:cs="Times New Roman"/>
          <w:sz w:val="24"/>
          <w:szCs w:val="24"/>
        </w:rPr>
        <w:t>,</w:t>
      </w:r>
      <w:r w:rsidR="007E3A3D" w:rsidRPr="00E17B15">
        <w:rPr>
          <w:rFonts w:ascii="Palatino Linotype" w:hAnsi="Palatino Linotype" w:cs="Times New Roman"/>
          <w:sz w:val="24"/>
          <w:szCs w:val="24"/>
        </w:rPr>
        <w:t xml:space="preserve"> </w:t>
      </w:r>
      <w:proofErr w:type="spellStart"/>
      <w:r w:rsidR="006771BE" w:rsidRPr="00E17B15">
        <w:rPr>
          <w:rFonts w:ascii="Palatino Linotype" w:eastAsia="Times New Roman" w:hAnsi="Palatino Linotype" w:cs="Times New Roman"/>
          <w:color w:val="374151"/>
          <w:sz w:val="24"/>
          <w:szCs w:val="24"/>
          <w:lang w:val="en-ID" w:eastAsia="zh-CN"/>
        </w:rPr>
        <w:t>Yogasetya</w:t>
      </w:r>
      <w:proofErr w:type="spellEnd"/>
      <w:r w:rsidR="006771BE" w:rsidRPr="00E17B15">
        <w:rPr>
          <w:rFonts w:ascii="Palatino Linotype" w:eastAsia="Times New Roman" w:hAnsi="Palatino Linotype" w:cs="Times New Roman"/>
          <w:color w:val="374151"/>
          <w:sz w:val="24"/>
          <w:szCs w:val="24"/>
          <w:lang w:val="en-ID" w:eastAsia="zh-CN"/>
        </w:rPr>
        <w:t xml:space="preserve"> </w:t>
      </w:r>
      <w:proofErr w:type="spellStart"/>
      <w:r w:rsidR="006771BE" w:rsidRPr="00E17B15">
        <w:rPr>
          <w:rFonts w:ascii="Palatino Linotype" w:eastAsia="Times New Roman" w:hAnsi="Palatino Linotype" w:cs="Times New Roman"/>
          <w:color w:val="374151"/>
          <w:sz w:val="24"/>
          <w:szCs w:val="24"/>
          <w:lang w:val="en-ID" w:eastAsia="zh-CN"/>
        </w:rPr>
        <w:t>Suhanda</w:t>
      </w:r>
      <w:proofErr w:type="spellEnd"/>
      <w:r w:rsidR="00A95DA3" w:rsidRPr="00E17B15">
        <w:rPr>
          <w:rFonts w:ascii="Palatino Linotype" w:eastAsia="Times New Roman" w:hAnsi="Palatino Linotype" w:cs="Times New Roman"/>
          <w:color w:val="333333"/>
          <w:sz w:val="24"/>
          <w:szCs w:val="24"/>
          <w:vertAlign w:val="superscript"/>
        </w:rPr>
        <w:t>4</w:t>
      </w:r>
      <w:r w:rsidR="00A95DA3" w:rsidRPr="00E17B15">
        <w:rPr>
          <w:rFonts w:ascii="Palatino Linotype" w:eastAsia="Times New Roman" w:hAnsi="Palatino Linotype" w:cs="Times New Roman"/>
          <w:sz w:val="24"/>
          <w:szCs w:val="24"/>
        </w:rPr>
        <w:t xml:space="preserve">, </w:t>
      </w:r>
      <w:proofErr w:type="spellStart"/>
      <w:r w:rsidR="006771BE" w:rsidRPr="00E17B15">
        <w:rPr>
          <w:rFonts w:ascii="Palatino Linotype" w:eastAsia="Times New Roman" w:hAnsi="Palatino Linotype" w:cs="Times New Roman"/>
          <w:color w:val="343541"/>
          <w:sz w:val="24"/>
          <w:szCs w:val="24"/>
          <w:lang w:val="en-ID" w:eastAsia="zh-CN"/>
        </w:rPr>
        <w:t>Usanto</w:t>
      </w:r>
      <w:proofErr w:type="spellEnd"/>
      <w:r w:rsidR="006771BE" w:rsidRPr="00E17B15">
        <w:rPr>
          <w:rFonts w:ascii="Palatino Linotype" w:eastAsia="Times New Roman" w:hAnsi="Palatino Linotype" w:cs="Times New Roman"/>
          <w:color w:val="343541"/>
          <w:sz w:val="24"/>
          <w:szCs w:val="24"/>
          <w:lang w:val="en-ID" w:eastAsia="zh-CN"/>
        </w:rPr>
        <w:t xml:space="preserve"> S</w:t>
      </w:r>
      <w:r w:rsidR="00717B7D" w:rsidRPr="00E17B15">
        <w:rPr>
          <w:rFonts w:ascii="Palatino Linotype" w:eastAsia="Times New Roman" w:hAnsi="Palatino Linotype" w:cs="Times New Roman"/>
          <w:sz w:val="24"/>
          <w:szCs w:val="24"/>
          <w:vertAlign w:val="superscript"/>
        </w:rPr>
        <w:t>5</w:t>
      </w:r>
      <w:r w:rsidR="008653FC" w:rsidRPr="00E17B15">
        <w:rPr>
          <w:rFonts w:ascii="Palatino Linotype" w:eastAsia="Times New Roman" w:hAnsi="Palatino Linotype" w:cs="Times New Roman"/>
          <w:sz w:val="24"/>
          <w:szCs w:val="24"/>
        </w:rPr>
        <w:t>, Robbi Rahim</w:t>
      </w:r>
      <w:r w:rsidR="008653FC" w:rsidRPr="00E17B15">
        <w:rPr>
          <w:rFonts w:ascii="Palatino Linotype" w:eastAsia="Times New Roman" w:hAnsi="Palatino Linotype" w:cs="Times New Roman"/>
          <w:sz w:val="24"/>
          <w:szCs w:val="24"/>
          <w:vertAlign w:val="superscript"/>
        </w:rPr>
        <w:t>6</w:t>
      </w:r>
    </w:p>
    <w:p w14:paraId="6662527F" w14:textId="77777777" w:rsidR="00B2377B" w:rsidRPr="00E17B15" w:rsidRDefault="00B2377B" w:rsidP="00FA1187">
      <w:pPr>
        <w:spacing w:after="0" w:line="240" w:lineRule="auto"/>
        <w:jc w:val="center"/>
        <w:rPr>
          <w:rFonts w:ascii="Palatino Linotype" w:eastAsia="Times New Roman" w:hAnsi="Palatino Linotype" w:cs="Times New Roman"/>
          <w:sz w:val="28"/>
          <w:szCs w:val="28"/>
        </w:rPr>
      </w:pPr>
    </w:p>
    <w:p w14:paraId="1B2205F3" w14:textId="3DE8B322" w:rsidR="00A01827" w:rsidRPr="00E17B15" w:rsidRDefault="00A01827" w:rsidP="00A01827">
      <w:pPr>
        <w:spacing w:after="0"/>
        <w:jc w:val="center"/>
        <w:rPr>
          <w:rFonts w:ascii="Palatino Linotype" w:hAnsi="Palatino Linotype" w:cs="Times New Roman"/>
          <w:sz w:val="20"/>
          <w:szCs w:val="20"/>
        </w:rPr>
      </w:pPr>
      <w:r w:rsidRPr="00E17B15">
        <w:rPr>
          <w:rFonts w:ascii="Palatino Linotype" w:hAnsi="Palatino Linotype" w:cs="Times New Roman"/>
          <w:sz w:val="20"/>
          <w:szCs w:val="20"/>
          <w:vertAlign w:val="superscript"/>
        </w:rPr>
        <w:t>1</w:t>
      </w:r>
      <w:r w:rsidRPr="00E17B15">
        <w:rPr>
          <w:rFonts w:ascii="Palatino Linotype" w:hAnsi="Palatino Linotype" w:cs="Times New Roman"/>
          <w:sz w:val="20"/>
          <w:szCs w:val="20"/>
        </w:rPr>
        <w:t xml:space="preserve">Department of Management, Faculty of Economic and Business, Universitas Sulawesi Tenggara, Kendari, Indonesia. Email: </w:t>
      </w:r>
      <w:hyperlink r:id="rId6" w:history="1">
        <w:r w:rsidRPr="00E17B15">
          <w:rPr>
            <w:rStyle w:val="Hyperlink"/>
            <w:rFonts w:ascii="Palatino Linotype" w:hAnsi="Palatino Linotype" w:cs="Times New Roman"/>
            <w:color w:val="auto"/>
            <w:sz w:val="20"/>
            <w:szCs w:val="20"/>
            <w:u w:val="none"/>
          </w:rPr>
          <w:t>sahyunu1959@gmail.com</w:t>
        </w:r>
      </w:hyperlink>
    </w:p>
    <w:p w14:paraId="034AF593" w14:textId="13D2168E" w:rsidR="00A01827" w:rsidRPr="00E17B15" w:rsidRDefault="00A01827" w:rsidP="00A01827">
      <w:pPr>
        <w:spacing w:after="0"/>
        <w:jc w:val="center"/>
        <w:rPr>
          <w:rFonts w:ascii="Palatino Linotype" w:hAnsi="Palatino Linotype" w:cs="Times New Roman"/>
          <w:sz w:val="20"/>
          <w:szCs w:val="20"/>
        </w:rPr>
      </w:pPr>
      <w:r w:rsidRPr="00E17B15">
        <w:rPr>
          <w:rFonts w:ascii="Palatino Linotype" w:hAnsi="Palatino Linotype" w:cs="Times New Roman"/>
          <w:sz w:val="20"/>
          <w:szCs w:val="20"/>
          <w:vertAlign w:val="superscript"/>
        </w:rPr>
        <w:t>2</w:t>
      </w:r>
      <w:r w:rsidRPr="00E17B15">
        <w:rPr>
          <w:rFonts w:ascii="Palatino Linotype" w:hAnsi="Palatino Linotype" w:cs="Times New Roman"/>
          <w:sz w:val="20"/>
          <w:szCs w:val="20"/>
        </w:rPr>
        <w:t xml:space="preserve">Universitas </w:t>
      </w:r>
      <w:proofErr w:type="spellStart"/>
      <w:r w:rsidRPr="00E17B15">
        <w:rPr>
          <w:rFonts w:ascii="Palatino Linotype" w:hAnsi="Palatino Linotype" w:cs="Times New Roman"/>
          <w:sz w:val="20"/>
          <w:szCs w:val="20"/>
        </w:rPr>
        <w:t>Klabat</w:t>
      </w:r>
      <w:proofErr w:type="spellEnd"/>
      <w:r w:rsidRPr="00E17B15">
        <w:rPr>
          <w:rFonts w:ascii="Palatino Linotype" w:hAnsi="Palatino Linotype" w:cs="Times New Roman"/>
          <w:sz w:val="20"/>
          <w:szCs w:val="20"/>
        </w:rPr>
        <w:t xml:space="preserve">, Indonesia. Email: </w:t>
      </w:r>
      <w:hyperlink r:id="rId7" w:history="1">
        <w:r w:rsidRPr="00E17B15">
          <w:rPr>
            <w:rStyle w:val="Hyperlink"/>
            <w:rFonts w:ascii="Palatino Linotype" w:hAnsi="Palatino Linotype" w:cs="Times New Roman"/>
            <w:color w:val="auto"/>
            <w:sz w:val="20"/>
            <w:szCs w:val="20"/>
            <w:u w:val="none"/>
          </w:rPr>
          <w:t>jimmy@unklab.ac.id</w:t>
        </w:r>
      </w:hyperlink>
    </w:p>
    <w:p w14:paraId="6DBBC804" w14:textId="6E1D23C1" w:rsidR="00A01827" w:rsidRPr="00E17B15" w:rsidRDefault="00A01827" w:rsidP="00A01827">
      <w:pPr>
        <w:spacing w:after="0"/>
        <w:jc w:val="center"/>
        <w:rPr>
          <w:rFonts w:ascii="Palatino Linotype" w:hAnsi="Palatino Linotype" w:cs="Times New Roman"/>
          <w:sz w:val="20"/>
          <w:szCs w:val="20"/>
          <w:lang w:val="pt-BR"/>
        </w:rPr>
      </w:pPr>
      <w:r w:rsidRPr="00E17B15">
        <w:rPr>
          <w:rFonts w:ascii="Palatino Linotype" w:hAnsi="Palatino Linotype" w:cs="Times New Roman"/>
          <w:sz w:val="20"/>
          <w:szCs w:val="20"/>
          <w:vertAlign w:val="superscript"/>
          <w:lang w:val="pt-BR"/>
        </w:rPr>
        <w:t>3</w:t>
      </w:r>
      <w:r w:rsidRPr="00E17B15">
        <w:rPr>
          <w:rFonts w:ascii="Palatino Linotype" w:hAnsi="Palatino Linotype" w:cs="Times New Roman"/>
          <w:sz w:val="20"/>
          <w:szCs w:val="20"/>
          <w:lang w:val="pt-BR"/>
        </w:rPr>
        <w:t xml:space="preserve">Universitas Bakrie, Jakarta, Indonesia. Email: </w:t>
      </w:r>
      <w:r w:rsidR="00000000" w:rsidRPr="00E17B15">
        <w:rPr>
          <w:rFonts w:ascii="Palatino Linotype" w:hAnsi="Palatino Linotype"/>
        </w:rPr>
        <w:fldChar w:fldCharType="begin"/>
      </w:r>
      <w:r w:rsidR="00000000" w:rsidRPr="00E17B15">
        <w:rPr>
          <w:rFonts w:ascii="Palatino Linotype" w:hAnsi="Palatino Linotype"/>
          <w:lang w:val="pt-BR"/>
        </w:rPr>
        <w:instrText>HYPERLINK "mailto:iwan.adhicandra@bakrie.ac.id"</w:instrText>
      </w:r>
      <w:r w:rsidR="00000000" w:rsidRPr="00E17B15">
        <w:rPr>
          <w:rFonts w:ascii="Palatino Linotype" w:hAnsi="Palatino Linotype"/>
        </w:rPr>
      </w:r>
      <w:r w:rsidR="00000000" w:rsidRPr="00E17B15">
        <w:rPr>
          <w:rFonts w:ascii="Palatino Linotype" w:hAnsi="Palatino Linotype"/>
        </w:rPr>
        <w:fldChar w:fldCharType="separate"/>
      </w:r>
      <w:r w:rsidRPr="00E17B15">
        <w:rPr>
          <w:rStyle w:val="Hyperlink"/>
          <w:rFonts w:ascii="Palatino Linotype" w:hAnsi="Palatino Linotype" w:cs="Times New Roman"/>
          <w:color w:val="auto"/>
          <w:sz w:val="20"/>
          <w:szCs w:val="20"/>
          <w:u w:val="none"/>
          <w:lang w:val="pt-BR"/>
        </w:rPr>
        <w:t>iwan.adhicandra@bakrie.ac.id</w:t>
      </w:r>
      <w:r w:rsidR="00000000" w:rsidRPr="00E17B15">
        <w:rPr>
          <w:rStyle w:val="Hyperlink"/>
          <w:rFonts w:ascii="Palatino Linotype" w:hAnsi="Palatino Linotype" w:cs="Times New Roman"/>
          <w:color w:val="auto"/>
          <w:sz w:val="20"/>
          <w:szCs w:val="20"/>
          <w:u w:val="none"/>
        </w:rPr>
        <w:fldChar w:fldCharType="end"/>
      </w:r>
    </w:p>
    <w:p w14:paraId="57F52376" w14:textId="0161BEF1" w:rsidR="00A01827" w:rsidRPr="00E17B15" w:rsidRDefault="00A01827" w:rsidP="00A01827">
      <w:pPr>
        <w:spacing w:after="0"/>
        <w:jc w:val="center"/>
        <w:rPr>
          <w:rFonts w:ascii="Palatino Linotype" w:hAnsi="Palatino Linotype" w:cs="Times New Roman"/>
          <w:sz w:val="20"/>
          <w:szCs w:val="20"/>
          <w:lang w:val="pt-BR"/>
        </w:rPr>
      </w:pPr>
      <w:r w:rsidRPr="00E17B15">
        <w:rPr>
          <w:rFonts w:ascii="Palatino Linotype" w:hAnsi="Palatino Linotype" w:cs="Times New Roman"/>
          <w:sz w:val="20"/>
          <w:szCs w:val="20"/>
          <w:vertAlign w:val="superscript"/>
          <w:lang w:val="pt-BR"/>
        </w:rPr>
        <w:t>4</w:t>
      </w:r>
      <w:r w:rsidRPr="00E17B15">
        <w:rPr>
          <w:rFonts w:ascii="Palatino Linotype" w:hAnsi="Palatino Linotype" w:cs="Times New Roman"/>
          <w:sz w:val="20"/>
          <w:szCs w:val="20"/>
          <w:lang w:val="pt-BR"/>
        </w:rPr>
        <w:t xml:space="preserve">Institut Teknologi dan Bisnis Swadharma, Jakarta, Indonesia. Email: </w:t>
      </w:r>
      <w:r w:rsidR="00000000" w:rsidRPr="00E17B15">
        <w:rPr>
          <w:rFonts w:ascii="Palatino Linotype" w:hAnsi="Palatino Linotype"/>
        </w:rPr>
        <w:fldChar w:fldCharType="begin"/>
      </w:r>
      <w:r w:rsidR="00000000" w:rsidRPr="00E17B15">
        <w:rPr>
          <w:rFonts w:ascii="Palatino Linotype" w:hAnsi="Palatino Linotype"/>
          <w:lang w:val="pt-BR"/>
        </w:rPr>
        <w:instrText>HYPERLINK "mailto:yogasetyas@swadharma.ac.id"</w:instrText>
      </w:r>
      <w:r w:rsidR="00000000" w:rsidRPr="00E17B15">
        <w:rPr>
          <w:rFonts w:ascii="Palatino Linotype" w:hAnsi="Palatino Linotype"/>
        </w:rPr>
      </w:r>
      <w:r w:rsidR="00000000" w:rsidRPr="00E17B15">
        <w:rPr>
          <w:rFonts w:ascii="Palatino Linotype" w:hAnsi="Palatino Linotype"/>
        </w:rPr>
        <w:fldChar w:fldCharType="separate"/>
      </w:r>
      <w:r w:rsidRPr="00E17B15">
        <w:rPr>
          <w:rStyle w:val="Hyperlink"/>
          <w:rFonts w:ascii="Palatino Linotype" w:hAnsi="Palatino Linotype" w:cs="Times New Roman"/>
          <w:color w:val="auto"/>
          <w:sz w:val="20"/>
          <w:szCs w:val="20"/>
          <w:u w:val="none"/>
          <w:lang w:val="pt-BR"/>
        </w:rPr>
        <w:t>yogasetyas@swadharma.ac.id</w:t>
      </w:r>
      <w:r w:rsidR="00000000" w:rsidRPr="00E17B15">
        <w:rPr>
          <w:rStyle w:val="Hyperlink"/>
          <w:rFonts w:ascii="Palatino Linotype" w:hAnsi="Palatino Linotype" w:cs="Times New Roman"/>
          <w:color w:val="auto"/>
          <w:sz w:val="20"/>
          <w:szCs w:val="20"/>
          <w:u w:val="none"/>
        </w:rPr>
        <w:fldChar w:fldCharType="end"/>
      </w:r>
    </w:p>
    <w:p w14:paraId="725E46E6" w14:textId="7AA18D56" w:rsidR="00A01827" w:rsidRPr="00E17B15" w:rsidRDefault="00A01827" w:rsidP="00A01827">
      <w:pPr>
        <w:spacing w:after="0"/>
        <w:jc w:val="center"/>
        <w:rPr>
          <w:rFonts w:ascii="Palatino Linotype" w:hAnsi="Palatino Linotype" w:cs="Times New Roman"/>
          <w:sz w:val="20"/>
          <w:szCs w:val="20"/>
        </w:rPr>
      </w:pPr>
      <w:r w:rsidRPr="00E17B15">
        <w:rPr>
          <w:rFonts w:ascii="Palatino Linotype" w:hAnsi="Palatino Linotype" w:cs="Times New Roman"/>
          <w:sz w:val="20"/>
          <w:szCs w:val="20"/>
          <w:vertAlign w:val="superscript"/>
          <w:lang w:val="pt-BR"/>
        </w:rPr>
        <w:t>5</w:t>
      </w:r>
      <w:r w:rsidRPr="00E17B15">
        <w:rPr>
          <w:rFonts w:ascii="Palatino Linotype" w:hAnsi="Palatino Linotype" w:cs="Times New Roman"/>
          <w:sz w:val="20"/>
          <w:szCs w:val="20"/>
          <w:lang w:val="pt-BR"/>
        </w:rPr>
        <w:t xml:space="preserve">Institut Teknologi dan Bisnis Swadharma, Jakarta, Indonesia. </w:t>
      </w:r>
      <w:r w:rsidRPr="00E17B15">
        <w:rPr>
          <w:rFonts w:ascii="Palatino Linotype" w:hAnsi="Palatino Linotype" w:cs="Times New Roman"/>
          <w:sz w:val="20"/>
          <w:szCs w:val="20"/>
        </w:rPr>
        <w:t xml:space="preserve">Email: </w:t>
      </w:r>
      <w:hyperlink r:id="rId8" w:history="1">
        <w:r w:rsidRPr="00E17B15">
          <w:rPr>
            <w:rStyle w:val="Hyperlink"/>
            <w:rFonts w:ascii="Palatino Linotype" w:hAnsi="Palatino Linotype" w:cs="Times New Roman"/>
            <w:color w:val="auto"/>
            <w:sz w:val="20"/>
            <w:szCs w:val="20"/>
            <w:u w:val="none"/>
          </w:rPr>
          <w:t>usanto.s@swadharama.ac.id</w:t>
        </w:r>
      </w:hyperlink>
    </w:p>
    <w:p w14:paraId="779D1E7B" w14:textId="77BD9F85" w:rsidR="00DB2311" w:rsidRPr="00E17B15" w:rsidRDefault="00000000" w:rsidP="00A01827">
      <w:pPr>
        <w:spacing w:after="0" w:line="240" w:lineRule="auto"/>
        <w:jc w:val="center"/>
        <w:rPr>
          <w:rFonts w:ascii="Palatino Linotype" w:hAnsi="Palatino Linotype" w:cs="Times New Roman"/>
          <w:sz w:val="20"/>
          <w:szCs w:val="20"/>
        </w:rPr>
      </w:pPr>
      <w:r w:rsidRPr="00E17B15">
        <w:rPr>
          <w:rFonts w:ascii="Palatino Linotype" w:hAnsi="Palatino Linotype" w:cs="Times New Roman"/>
          <w:sz w:val="20"/>
          <w:szCs w:val="20"/>
          <w:vertAlign w:val="superscript"/>
        </w:rPr>
        <w:t>6</w:t>
      </w:r>
      <w:r w:rsidRPr="00E17B15">
        <w:rPr>
          <w:rFonts w:ascii="Palatino Linotype" w:hAnsi="Palatino Linotype" w:cs="Times New Roman"/>
          <w:sz w:val="20"/>
          <w:szCs w:val="20"/>
        </w:rPr>
        <w:t xml:space="preserve">Sekolah Tinggi </w:t>
      </w:r>
      <w:proofErr w:type="spellStart"/>
      <w:r w:rsidRPr="00E17B15">
        <w:rPr>
          <w:rFonts w:ascii="Palatino Linotype" w:hAnsi="Palatino Linotype" w:cs="Times New Roman"/>
          <w:sz w:val="20"/>
          <w:szCs w:val="20"/>
        </w:rPr>
        <w:t>Ilmu</w:t>
      </w:r>
      <w:proofErr w:type="spellEnd"/>
      <w:r w:rsidRPr="00E17B15">
        <w:rPr>
          <w:rFonts w:ascii="Palatino Linotype" w:hAnsi="Palatino Linotype" w:cs="Times New Roman"/>
          <w:sz w:val="20"/>
          <w:szCs w:val="20"/>
        </w:rPr>
        <w:t xml:space="preserve"> </w:t>
      </w:r>
      <w:proofErr w:type="spellStart"/>
      <w:r w:rsidRPr="00E17B15">
        <w:rPr>
          <w:rFonts w:ascii="Palatino Linotype" w:hAnsi="Palatino Linotype" w:cs="Times New Roman"/>
          <w:sz w:val="20"/>
          <w:szCs w:val="20"/>
        </w:rPr>
        <w:t>Manajemen</w:t>
      </w:r>
      <w:proofErr w:type="spellEnd"/>
      <w:r w:rsidRPr="00E17B15">
        <w:rPr>
          <w:rFonts w:ascii="Palatino Linotype" w:hAnsi="Palatino Linotype" w:cs="Times New Roman"/>
          <w:sz w:val="20"/>
          <w:szCs w:val="20"/>
        </w:rPr>
        <w:t xml:space="preserve"> </w:t>
      </w:r>
      <w:proofErr w:type="spellStart"/>
      <w:r w:rsidRPr="00E17B15">
        <w:rPr>
          <w:rFonts w:ascii="Palatino Linotype" w:hAnsi="Palatino Linotype" w:cs="Times New Roman"/>
          <w:sz w:val="20"/>
          <w:szCs w:val="20"/>
        </w:rPr>
        <w:t>Sukma</w:t>
      </w:r>
      <w:proofErr w:type="spellEnd"/>
      <w:r w:rsidRPr="00E17B15">
        <w:rPr>
          <w:rFonts w:ascii="Palatino Linotype" w:hAnsi="Palatino Linotype" w:cs="Times New Roman"/>
          <w:sz w:val="20"/>
          <w:szCs w:val="20"/>
        </w:rPr>
        <w:t>, Medan, Indonesia. Email: usurobbi85@zoho.com</w:t>
      </w:r>
    </w:p>
    <w:p w14:paraId="42DE8734" w14:textId="6DF5A7DC" w:rsidR="00752380" w:rsidRPr="00E17B15" w:rsidRDefault="00752380" w:rsidP="002D7D1F">
      <w:pPr>
        <w:spacing w:after="0"/>
        <w:jc w:val="center"/>
        <w:rPr>
          <w:rFonts w:ascii="Palatino Linotype" w:hAnsi="Palatino Linotype" w:cs="Times New Roman"/>
          <w:sz w:val="20"/>
          <w:szCs w:val="20"/>
        </w:rPr>
      </w:pPr>
    </w:p>
    <w:p w14:paraId="04359830" w14:textId="5DB3D86B" w:rsidR="00752380" w:rsidRPr="00E17B15" w:rsidRDefault="00C80E05" w:rsidP="002D7D1F">
      <w:pPr>
        <w:spacing w:after="0"/>
        <w:jc w:val="center"/>
        <w:rPr>
          <w:rFonts w:ascii="Palatino Linotype" w:hAnsi="Palatino Linotype" w:cs="Times New Roman"/>
          <w:sz w:val="20"/>
          <w:szCs w:val="20"/>
        </w:rPr>
      </w:pPr>
      <w:r w:rsidRPr="00E17B15">
        <w:rPr>
          <w:rFonts w:ascii="Palatino Linotype" w:hAnsi="Palatino Linotype" w:cs="Times New Roman"/>
          <w:sz w:val="20"/>
          <w:szCs w:val="20"/>
        </w:rPr>
        <w:t xml:space="preserve">*Corresponding Email: </w:t>
      </w:r>
      <w:hyperlink r:id="rId9" w:history="1">
        <w:r w:rsidR="00B45F78" w:rsidRPr="00E17B15">
          <w:rPr>
            <w:rStyle w:val="Hyperlink"/>
            <w:rFonts w:ascii="Palatino Linotype" w:hAnsi="Palatino Linotype" w:cs="Times New Roman"/>
            <w:color w:val="auto"/>
            <w:sz w:val="20"/>
            <w:szCs w:val="20"/>
            <w:u w:val="none"/>
          </w:rPr>
          <w:t>sahyunu1959@gmail.com</w:t>
        </w:r>
      </w:hyperlink>
    </w:p>
    <w:p w14:paraId="18777272" w14:textId="4F5018A4" w:rsidR="00752380" w:rsidRPr="00E17B15" w:rsidRDefault="00752380" w:rsidP="00752380">
      <w:pPr>
        <w:spacing w:after="0"/>
        <w:jc w:val="center"/>
        <w:rPr>
          <w:rFonts w:ascii="Palatino Linotype" w:hAnsi="Palatino Linotype" w:cs="Times New Roman"/>
          <w:sz w:val="20"/>
          <w:szCs w:val="20"/>
        </w:rPr>
      </w:pPr>
    </w:p>
    <w:p w14:paraId="4ECE341A" w14:textId="11073D9C" w:rsidR="00752380" w:rsidRPr="00E17B15" w:rsidRDefault="00000000" w:rsidP="00C35C05">
      <w:pPr>
        <w:spacing w:after="0" w:line="240" w:lineRule="auto"/>
        <w:jc w:val="both"/>
        <w:rPr>
          <w:rFonts w:ascii="Palatino Linotype" w:hAnsi="Palatino Linotype" w:cs="Times New Roman"/>
          <w:sz w:val="20"/>
          <w:szCs w:val="20"/>
        </w:rPr>
      </w:pPr>
      <w:r w:rsidRPr="00E17B15">
        <w:rPr>
          <w:rFonts w:ascii="Palatino Linotype" w:hAnsi="Palatino Linotype" w:cs="Times New Roman"/>
          <w:b/>
          <w:bCs/>
          <w:sz w:val="20"/>
          <w:szCs w:val="20"/>
        </w:rPr>
        <w:t>Abstract.</w:t>
      </w:r>
      <w:r w:rsidR="00F20558" w:rsidRPr="00E17B15">
        <w:rPr>
          <w:rFonts w:ascii="Palatino Linotype" w:hAnsi="Palatino Linotype" w:cs="Times New Roman"/>
          <w:sz w:val="20"/>
          <w:szCs w:val="20"/>
        </w:rPr>
        <w:t xml:space="preserve"> This study aims to explore the use of the ELECTRE method for selecting and evaluating online courses. A set of criteria and weights were determined using the pairwise comparison method, including course quality, instructor experience, accreditation, student engagement, flexibility, technical support, and cost. The ELECTRE method was then applied to rank five online courses based on their suitability for the participants' needs and expectations. The concordance and discordance indices were calculated for each course, and the net flow was used to determine the ranking. The results showed that the ELECTRE method can be a useful tool for participants in choosing and evaluating online courses based on a set of tailored criteria and weights. Future research could investigate how the results of the ELECTRE method can be combined with other methods to enhance the accuracy and validity of the ranking. Overall, the ELECTRE method provides a useful framework for participants to make an informed decision about which online course is best suited to their individual preferences and goals.</w:t>
      </w:r>
    </w:p>
    <w:p w14:paraId="7F892EFC" w14:textId="424887FE" w:rsidR="000D65B3" w:rsidRPr="00E17B15" w:rsidRDefault="000D65B3" w:rsidP="00752380">
      <w:pPr>
        <w:spacing w:after="0"/>
        <w:rPr>
          <w:rFonts w:ascii="Palatino Linotype" w:hAnsi="Palatino Linotype" w:cs="Times New Roman"/>
          <w:sz w:val="20"/>
          <w:szCs w:val="20"/>
        </w:rPr>
      </w:pPr>
    </w:p>
    <w:p w14:paraId="7395FFC0" w14:textId="3E5FE99D" w:rsidR="000D65B3" w:rsidRPr="00E17B15" w:rsidRDefault="00000000" w:rsidP="006C518F">
      <w:pPr>
        <w:spacing w:after="0"/>
        <w:rPr>
          <w:rFonts w:ascii="Palatino Linotype" w:hAnsi="Palatino Linotype" w:cs="Times New Roman"/>
          <w:sz w:val="20"/>
          <w:szCs w:val="20"/>
          <w:lang w:val="en-ID"/>
        </w:rPr>
      </w:pPr>
      <w:r w:rsidRPr="00E17B15">
        <w:rPr>
          <w:rFonts w:ascii="Palatino Linotype" w:hAnsi="Palatino Linotype" w:cs="Times New Roman"/>
          <w:b/>
          <w:bCs/>
          <w:sz w:val="20"/>
          <w:szCs w:val="20"/>
        </w:rPr>
        <w:t>Keywords:</w:t>
      </w:r>
      <w:r w:rsidR="00800A4A" w:rsidRPr="00E17B15">
        <w:rPr>
          <w:rFonts w:ascii="Palatino Linotype" w:hAnsi="Palatino Linotype" w:cs="Times New Roman"/>
          <w:b/>
          <w:bCs/>
          <w:sz w:val="20"/>
          <w:szCs w:val="20"/>
        </w:rPr>
        <w:t xml:space="preserve"> </w:t>
      </w:r>
      <w:r w:rsidR="00F20558" w:rsidRPr="00E17B15">
        <w:rPr>
          <w:rFonts w:ascii="Palatino Linotype" w:hAnsi="Palatino Linotype" w:cs="Times New Roman"/>
          <w:b/>
          <w:bCs/>
          <w:sz w:val="20"/>
          <w:szCs w:val="20"/>
        </w:rPr>
        <w:t>Criteria, Decision-making, ELECTRE Method, Evaluation, Online Courses</w:t>
      </w:r>
    </w:p>
    <w:p w14:paraId="238015CE" w14:textId="03D133B1" w:rsidR="000D65B3" w:rsidRPr="00E17B15" w:rsidRDefault="000D65B3" w:rsidP="00752380">
      <w:pPr>
        <w:spacing w:after="0"/>
        <w:rPr>
          <w:rFonts w:ascii="Palatino Linotype" w:hAnsi="Palatino Linotype" w:cs="Times New Roman"/>
          <w:sz w:val="20"/>
          <w:szCs w:val="20"/>
        </w:rPr>
      </w:pPr>
    </w:p>
    <w:p w14:paraId="0BB8B517" w14:textId="78BC7928" w:rsidR="000D65B3" w:rsidRPr="00E17B15" w:rsidRDefault="00000000" w:rsidP="001053C0">
      <w:pPr>
        <w:pStyle w:val="ListParagraph"/>
        <w:numPr>
          <w:ilvl w:val="0"/>
          <w:numId w:val="1"/>
        </w:numPr>
        <w:spacing w:after="0"/>
        <w:rPr>
          <w:rFonts w:ascii="Palatino Linotype" w:hAnsi="Palatino Linotype" w:cs="Times New Roman"/>
          <w:b/>
          <w:bCs/>
          <w:sz w:val="20"/>
          <w:szCs w:val="20"/>
        </w:rPr>
      </w:pPr>
      <w:r w:rsidRPr="00E17B15">
        <w:rPr>
          <w:rFonts w:ascii="Palatino Linotype" w:hAnsi="Palatino Linotype" w:cs="Times New Roman"/>
          <w:b/>
          <w:bCs/>
          <w:sz w:val="20"/>
          <w:szCs w:val="20"/>
        </w:rPr>
        <w:t>Introduction</w:t>
      </w:r>
    </w:p>
    <w:p w14:paraId="12F21339" w14:textId="6BD83EF5" w:rsidR="00E02328" w:rsidRPr="00E17B15" w:rsidRDefault="00E02328" w:rsidP="007B703B">
      <w:pPr>
        <w:spacing w:after="0"/>
        <w:ind w:firstLine="360"/>
        <w:jc w:val="both"/>
        <w:rPr>
          <w:rFonts w:ascii="Palatino Linotype" w:hAnsi="Palatino Linotype" w:cs="Times New Roman"/>
          <w:sz w:val="20"/>
          <w:szCs w:val="20"/>
        </w:rPr>
      </w:pPr>
    </w:p>
    <w:p w14:paraId="1693EC63" w14:textId="3EC579DA" w:rsidR="006A6C11" w:rsidRPr="00E17B15" w:rsidRDefault="006A6C11" w:rsidP="00D152D2">
      <w:pPr>
        <w:spacing w:after="0" w:line="240" w:lineRule="auto"/>
        <w:ind w:firstLine="360"/>
        <w:jc w:val="both"/>
        <w:rPr>
          <w:rFonts w:ascii="Palatino Linotype" w:hAnsi="Palatino Linotype" w:cs="Times New Roman"/>
          <w:sz w:val="20"/>
          <w:szCs w:val="20"/>
        </w:rPr>
      </w:pPr>
      <w:r w:rsidRPr="00E17B15">
        <w:rPr>
          <w:rFonts w:ascii="Palatino Linotype" w:hAnsi="Palatino Linotype" w:cs="Times New Roman"/>
          <w:sz w:val="20"/>
          <w:szCs w:val="20"/>
        </w:rPr>
        <w:t>The rise of online education has created a demand for efficient decision-making methods in selecting and evaluating online courses</w:t>
      </w:r>
      <w:r w:rsidR="004759C5" w:rsidRPr="00E17B15">
        <w:rPr>
          <w:rFonts w:ascii="Palatino Linotype" w:hAnsi="Palatino Linotype" w:cs="Times New Roman"/>
          <w:sz w:val="20"/>
          <w:szCs w:val="20"/>
        </w:rPr>
        <w:fldChar w:fldCharType="begin" w:fldLock="1"/>
      </w:r>
      <w:r w:rsidR="004759C5" w:rsidRPr="00E17B15">
        <w:rPr>
          <w:rFonts w:ascii="Palatino Linotype" w:hAnsi="Palatino Linotype" w:cs="Times New Roman"/>
          <w:sz w:val="20"/>
          <w:szCs w:val="20"/>
        </w:rPr>
        <w:instrText>ADDIN CSL_CITATION {"citationItems":[{"id":"ITEM-1","itemData":{"DOI":"10.1016/J.JIK.2022.100295","ISSN":"2444-569X","abstract":"With the spread of COVID-19 around the world, the education industry faces enormous challenges. Some colleges and universities have launched online teaching. Comprehensive online teaching and student health checkups help students complete the set teaching content and return to school as soon as possible. With the development of big data, combined with the epidemic risk we are facing, the rational use of big data and the internet for innovative online education has become a mainstream teaching method. Colleges and universities are not yet familiar with the development prospects and future of online education. Through the research of this paper, we can understand the combination of online education and the development of big data and promote its application in colleges and universities. Not only have innovative online education platforms such as MOOC and DingTalk been widely used, but innovative online education methods such as virtual classrooms also have been created. Based on the current epidemic background, this paper analyzes the development of online education, introduces the impact of the combination of online education and big data, and introduces innovative online education technologies and their effects. It helps online education under the influence of the new coronavirus epidemic, operating big data technology to analyze the current prospects and development of online education, showing the combination of big data technology and online education through the analysis of big data technology, and ending with more expectations on other aspects of the use of big data, which affects the online education industry as well as other industries. Finally, we summarize the combination of big data and innovative online education since the emergence of COVID-19 and introduce the concepts and methods of combining online education and big data technology in detail. The online education platform also makes a reasonable introduction. The thesis can be used to understand the problems and challenges faced by innovative online education in the context of the new coronavirus epidemic and look forward to the future on this basis.","author":[{"dropping-particle":"","family":"Cui","given":"Yuhuan","non-dropping-particle":"","parse-names":false,"suffix":""},{"dropping-particle":"","family":"Ma","given":"Zezhong","non-dropping-particle":"","parse-names":false,"suffix":""},{"dropping-particle":"","family":"Wang","given":"Liya","non-dropping-particle":"","parse-names":false,"suffix":""},{"dropping-particle":"","family":"Yang","given":"Aimin","non-dropping-particle":"","parse-names":false,"suffix":""},{"dropping-particle":"","family":"Liu","given":"Qiumei","non-dropping-particle":"","parse-names":false,"suffix":""},{"dropping-particle":"","family":"Kong","given":"Shanshan","non-dropping-particle":"","parse-names":false,"suffix":""},{"dropping-particle":"","family":"Wang","given":"Huifang","non-dropping-particle":"","parse-names":false,"suffix":""}],"container-title":"Journal of Innovation &amp; Knowledge","id":"ITEM-1","issue":"1","issued":{"date-parts":[["2023","1","1"]]},"page":"100295","publisher":"Elsevier","title":"A survey on big data-enabled innovative online education systems during the COVID-19 pandemic","type":"article-journal","volume":"8"},"uris":["http://www.mendeley.com/documents/?uuid=5744e7b3-e867-37c4-9ea1-cc1581b1817d"]},{"id":"ITEM-2","itemData":{"DOI":"10.1016/J.ECONEDUREV.2022.102350","ISSN":"0272-7757","abstract":"Demand for personalized online tutoring in higher education is growing but there is little research on its effectiveness. We conducted an RCT offering remote peer tutoring in micro- and macroeconomics at a German university teaching online due to the Covid-pandemic. Treated students met in small groups, in alternating weeks with and without a more senior student tutor. The treatment improved study behavior and increased contact to other students. Tutored students achieved around 30% more credits and a one grade level better GPA across treated subjects. Our findings suggest that the program reduced outcome inequality. We find no impacts on mental health.","author":[{"dropping-particle":"","family":"Hardt","given":"David","non-dropping-particle":"","parse-names":false,"suffix":""},{"dropping-particle":"","family":"Nagler","given":"Markus","non-dropping-particle":"","parse-names":false,"suffix":""},{"dropping-particle":"","family":"Rincke","given":"Johannes","non-dropping-particle":"","parse-names":false,"suffix":""}],"container-title":"Economics of Education Review","id":"ITEM-2","issued":{"date-parts":[["2023","2","1"]]},"page":"102350","publisher":"Pergamon","title":"Tutoring in (online) higher education: Experimental evidence","type":"article-journal","volume":"92"},"uris":["http://www.mendeley.com/documents/?uuid=385fd75d-914f-37fb-92f2-f2bfd3f473fd"]},{"id":"ITEM-3","itemData":{"DOI":"10.1016/J.ECONEDUREV.2023.102385","ISSN":"0272-7757","abstract":"There is growing interest by both educators and policymakers in helping underperforming students catch up using computer assisted learning (CAL). While CAL interventions have been shown to be effective internationally and elsewhere in China, these have been mostly offline CAL programs that are difficult and costly to implement. An online CAL (OCAL) may be able to bypass many of offline CAL's implementation problems and enhance the remedial tutoring experience. The objective of this paper is to examine the impact of an OCAL intervention on the academic and non-academic performance of students and to explore the mechanism behind OCAL's impact. According to the findings, OCAL improved overall English scores of students in the treatment group relative to the control group by 0.48 standard deviations. This impact is large when compared with offline CAL programs previously evaluated in rural China. We found that OCAL also led to a positive change in the attitudes of students towards English learning and student aspirations for their future education level. We found three possible explanations for OCAL's impact. We believe that online features that enhance the interest-oriented stimulation of the software is the main source of improvement among students. Cost-effectiveness analysis showed that the OCAL program is more cost-effective than traditional offline CAL, which is suitable for policymakers as it indicates high potential for OCAL program expansion.","author":[{"dropping-particle":"","family":"Bai","given":"Yu","non-dropping-particle":"","parse-names":false,"suffix":""},{"dropping-particle":"","family":"Tang","given":"Bin","non-dropping-particle":"","parse-names":false,"suffix":""},{"dropping-particle":"","family":"Wang","given":"Boya","non-dropping-particle":"","parse-names":false,"suffix":""},{"dropping-particle":"","family":"Mo","given":"Di","non-dropping-particle":"","parse-names":false,"suffix":""},{"dropping-particle":"","family":"Zhang","given":"Linxiu","non-dropping-particle":"","parse-names":false,"suffix":""},{"dropping-particle":"","family":"Rozelle","given":"Scott","non-dropping-particle":"","parse-names":false,"suffix":""},{"dropping-particle":"","family":"Auden","given":"Emma","non-dropping-particle":"","parse-names":false,"suffix":""},{"dropping-particle":"","family":"Mandell","given":"Blake","non-dropping-particle":"","parse-names":false,"suffix":""}],"container-title":"Economics of Education Review","id":"ITEM-3","issued":{"date-parts":[["2023","6","1"]]},"page":"102385","publisher":"Pergamon","title":"Impact of online computer assisted learning on education: Experimental evidence from economically vulnerable areas of China","type":"article-journal","volume":"94"},"uris":["http://www.mendeley.com/documents/?uuid=3c249661-1022-3532-902b-561c82f75383"]}],"mendeley":{"formattedCitation":"[1]–[3]","plainTextFormattedCitation":"[1]–[3]","previouslyFormattedCitation":"[1]–[3]"},"properties":{"noteIndex":0},"schema":"https://github.com/citation-style-language/schema/raw/master/csl-citation.json"}</w:instrText>
      </w:r>
      <w:r w:rsidR="004759C5" w:rsidRPr="00E17B15">
        <w:rPr>
          <w:rFonts w:ascii="Palatino Linotype" w:hAnsi="Palatino Linotype" w:cs="Times New Roman"/>
          <w:sz w:val="20"/>
          <w:szCs w:val="20"/>
        </w:rPr>
        <w:fldChar w:fldCharType="separate"/>
      </w:r>
      <w:r w:rsidR="004759C5" w:rsidRPr="00E17B15">
        <w:rPr>
          <w:rFonts w:ascii="Palatino Linotype" w:hAnsi="Palatino Linotype" w:cs="Times New Roman"/>
          <w:noProof/>
          <w:sz w:val="20"/>
          <w:szCs w:val="20"/>
        </w:rPr>
        <w:t>[1]–[3]</w:t>
      </w:r>
      <w:r w:rsidR="004759C5" w:rsidRPr="00E17B15">
        <w:rPr>
          <w:rFonts w:ascii="Palatino Linotype" w:hAnsi="Palatino Linotype" w:cs="Times New Roman"/>
          <w:sz w:val="20"/>
          <w:szCs w:val="20"/>
        </w:rPr>
        <w:fldChar w:fldCharType="end"/>
      </w:r>
      <w:r w:rsidRPr="00E17B15">
        <w:rPr>
          <w:rFonts w:ascii="Palatino Linotype" w:hAnsi="Palatino Linotype" w:cs="Times New Roman"/>
          <w:sz w:val="20"/>
          <w:szCs w:val="20"/>
        </w:rPr>
        <w:t>. The ELECTRE method is a multi-criteria decision-making method that can be used to evaluate and rank online courses based on a set of criteria, such as cost, content, instructor experience, and student reviews. Additionally, a decision support system (DSS) can provide decision-makers with the necessary information and tools to make informed decisions. By using the ELECTRE method and DSSs, students can make informed decisions when choosing online courses that meet their needs and expectations.</w:t>
      </w:r>
    </w:p>
    <w:p w14:paraId="1232FF6B" w14:textId="7CD9DB43" w:rsidR="006A6C11" w:rsidRPr="00E17B15" w:rsidRDefault="006A6C11" w:rsidP="00D152D2">
      <w:pPr>
        <w:spacing w:after="0" w:line="240" w:lineRule="auto"/>
        <w:ind w:firstLine="360"/>
        <w:jc w:val="both"/>
        <w:rPr>
          <w:rFonts w:ascii="Palatino Linotype" w:hAnsi="Palatino Linotype" w:cs="Times New Roman"/>
          <w:sz w:val="20"/>
          <w:szCs w:val="20"/>
        </w:rPr>
      </w:pPr>
      <w:r w:rsidRPr="00E17B15">
        <w:rPr>
          <w:rFonts w:ascii="Palatino Linotype" w:hAnsi="Palatino Linotype" w:cs="Times New Roman"/>
          <w:sz w:val="20"/>
          <w:szCs w:val="20"/>
        </w:rPr>
        <w:t xml:space="preserve">Choosing an important online course requires consideration of several factors, such as course quality, accreditation, and flexibility. A high-quality course should have engaging content, interactive activities, and assessments that measure the student's understanding of the material. Accreditation is important because it ensures that the course meets certain standards and is recognized by employers and other institutions. Flexibility is also crucial as online courses should allow students to learn at </w:t>
      </w:r>
      <w:r w:rsidRPr="00E17B15">
        <w:rPr>
          <w:rFonts w:ascii="Palatino Linotype" w:hAnsi="Palatino Linotype" w:cs="Times New Roman"/>
          <w:sz w:val="20"/>
          <w:szCs w:val="20"/>
        </w:rPr>
        <w:lastRenderedPageBreak/>
        <w:t>their own pace and on their own schedule. Therefore, students should select online courses that meet these criteria to obtain the education they need to succeed in their chosen field</w:t>
      </w:r>
      <w:r w:rsidR="004759C5" w:rsidRPr="00E17B15">
        <w:rPr>
          <w:rFonts w:ascii="Palatino Linotype" w:hAnsi="Palatino Linotype" w:cs="Times New Roman"/>
          <w:sz w:val="20"/>
          <w:szCs w:val="20"/>
        </w:rPr>
        <w:fldChar w:fldCharType="begin" w:fldLock="1"/>
      </w:r>
      <w:r w:rsidR="004759C5" w:rsidRPr="00E17B15">
        <w:rPr>
          <w:rFonts w:ascii="Palatino Linotype" w:hAnsi="Palatino Linotype" w:cs="Times New Roman"/>
          <w:sz w:val="20"/>
          <w:szCs w:val="20"/>
        </w:rPr>
        <w:instrText>ADDIN CSL_CITATION {"citationItems":[{"id":"ITEM-1","itemData":{"DOI":"10.1016/J.AANAT.2022.151973","ISSN":"0940-9602","PMID":"35738314","abstract":"Background: In the field of medicine, anatomy is considered one of the most important subjects to be studied in college, even for clinicians. Learning from cadaveric specimens is considered an important part of the medical experience. The current study consisted of a questionnaire given to Year 1 and Year 2 medical students. This study was performed to assess using a questionnaire whether students were capable of continuing studying Anatomy during the COVID-19 period. Methods: The study consisted of 102 students in Years 1 and 2 of the Faculty of Medicine of Alexandria University in Egypt. It included Year 1 Students (mean age 18.6 ± 1.1 years old; 21 males and 36 females), and Year 2 Students (mean age 20.4 ± 1.0 years old; 22 males and 23 females). The survey consisted of three sections. The first section consisted of four questions on the demographic data of the participating students. The second section consisted of 10 questions concerning their satisfaction with the tutorials and presented by the Department of Anatomy. Answers to the questionnaire were in the form of a Likert scale (with 1 = strongly disagree to 5 = strongly agree). Results: The students disagreed with the fact that they found difficulty in time management, represented by a mean score of 2.23 ± 1.14. That is to say, the students were capable of managing their time well. Here also, the difference between Year 1 and Year 2 students was significant (p = 0.028), which is an indicator that Year 2 students found more difficulty in time management. Most students agreed (mean score of 3.48 ± 1.07) that they were able to handle online learning and the transition between the systems was acceptable. Students were also convinced and agreed that the methods used by the college limited the spread of COVID-19 (mean score of 3.81 ± 1.04). Allowing assignments and projects increased the interaction between the students and the staff members. Conclusions: Education must continue during the COVID-19 period, based on their responses and opinions in the questionnaire. Online learning proved to be effective in teaching medical students during the COVID-19 pandemic.","author":[{"dropping-particle":"","family":"Boulos","given":"Atef N.","non-dropping-particle":"","parse-names":false,"suffix":""}],"container-title":"Annals of Anatomy - Anatomischer Anzeiger","id":"ITEM-1","issued":{"date-parts":[["2022","10","1"]]},"page":"151973","publisher":"Urban &amp; Fischer","title":"Evaluation of the effectiveness of online education in anatomy for medical students during the COVID-19 pandemic","type":"article-journal","volume":"244"},"uris":["http://www.mendeley.com/documents/?uuid=2815693d-81c6-3cda-9915-a285b5b86f5f"]},{"id":"ITEM-2","itemData":{"DOI":"10.1016/J.IJME.2021.100464","ISSN":"1472-8117","abstract":"This article proposes a transferable model for online learning, based on the principles of social constructivism. The findings have been collected through ‘end-of-course feedback surveys’, and concern a student-sample of 170 nationalities, residing in 154 countries. All students were registered in cohorts of the same postgraduate programme over a period of four years. The findings throw light on learners' difficulties in different parts of the world; along with practical implications for University decision-makers and instructors. The article's contribution is encapsulated in an eight-pillar learning model, aiming to facilitate educational inclusion, quality enhancement, and promote the benefit of learners.","author":[{"dropping-particle":"","family":"Efthymiou","given":"Leonidas","non-dropping-particle":"","parse-names":false,"suffix":""},{"dropping-particle":"","family":"Zarifis","given":"Alex","non-dropping-particle":"","parse-names":false,"suffix":""}],"container-title":"The International Journal of Management Education","id":"ITEM-2","issue":"2","issued":{"date-parts":[["2021","7","1"]]},"page":"100464","publisher":"Elsevier","title":"Modeling students’ voice for enhanced quality in online management education","type":"article-journal","volume":"19"},"uris":["http://www.mendeley.com/documents/?uuid=018d69f2-816a-38af-aa8a-c943a470ff3e"]},{"id":"ITEM-3","itemData":{"DOI":"10.1016/J.FUTURES.2015.10.001","ISSN":"0016-3287","abstract":"Nowadays with the possibility of synchronous e-learning, online courses are becoming a new paradigm in education. But there are few studies systematically discussing the interplay between online courses and global education equality quantitatively. Here, we indicate that online education is more like the global public goods with on-rival and non-excludable in consumption. We establish an educational outcome model and indicate that popularity of online education is likely to give rise to the human capital augmentation, both for developing and developed countries. And this growth stems from the characteristics of global public goods. To analyze the possibility of the potential growth, we suggest that an online education club would help countries to escape from the dominant strategies of “Free ride”, which is the common dilemma in public goods supply. So the cooperation would bring coordinated growth to countries with different advantages in educational resources. And this win–win situation offers an underlying driving force to the development of human capital and economics. This paper provides a view offering the deep understanding on reducing the gap of education outcome between countries, and get a coordinated development in the Internet or MOOCs Era. It gives more supports to the development of online education in the future.","author":[{"dropping-particle":"","family":"Li","given":"Xiaomeng","non-dropping-particle":"","parse-names":false,"suffix":""},{"dropping-particle":"","family":"Chen","given":"Qinghua","non-dropping-particle":"","parse-names":false,"suffix":""},{"dropping-particle":"","family":"Fang","given":"Fukang","non-dropping-particle":"","parse-names":false,"suffix":""},{"dropping-particle":"","family":"Zhang","given":"Jiang","non-dropping-particle":"","parse-names":false,"suffix":""}],"container-title":"Futures","id":"ITEM-3","issued":{"date-parts":[["2016","8","1"]]},"page":"176-190","publisher":"Pergamon","title":"Is online education more like the global public goods?","type":"article-journal","volume":"81"},"uris":["http://www.mendeley.com/documents/?uuid=393ddac9-7030-3b5d-bd90-2b77a830da3a"]},{"id":"ITEM-4","itemData":{"DOI":"10.1016/J.IJEDRO.2021.100096","ISSN":"2666-3740","abstract":"The growing attention of the labour market to soft skills has led universities, in different countries to develop tools for the promotion and the assessment of generic skills. The studies carried out at the University of Turin on the design, implementation and testing of the Passport platform fall into this area. Passport is an articulated online course focusing on 12 soft skills. The course includes: a self-assessment Scale, 87 online activities (video clips, reflections, case studies…) and a final certification of the acquired skills. The effectiveness of the Passport course in favouring the academic success of fist-year students in terms of credits acquired, is attested by a previous follow-up research. The present study, on the other hand, aims to evaluate the contribution of the Passport training in improving students’ soft skill profile.","author":[{"dropping-particle":"","family":"Emanuel","given":"Federica","non-dropping-particle":"","parse-names":false,"suffix":""},{"dropping-particle":"","family":"Ricchiardi","given":"Paola","non-dropping-particle":"","parse-names":false,"suffix":""},{"dropping-particle":"","family":"Sanseverino","given":"Domenico","non-dropping-particle":"","parse-names":false,"suffix":""},{"dropping-particle":"","family":"Ghislieri","given":"Chiara","non-dropping-particle":"","parse-names":false,"suffix":""}],"container-title":"International Journal of Educational Research Open","id":"ITEM-4","issued":{"date-parts":[["2021","1","1"]]},"page":"100096","publisher":"Elsevier","title":"Make soft skills stronger? An online enhancement platform for higher education","type":"article-journal","volume":"2"},"uris":["http://www.mendeley.com/documents/?uuid=afdd7a32-608f-375d-a26a-3ad6cbd7ca73"]}],"mendeley":{"formattedCitation":"[4]–[7]","plainTextFormattedCitation":"[4]–[7]","previouslyFormattedCitation":"[4]–[6]"},"properties":{"noteIndex":0},"schema":"https://github.com/citation-style-language/schema/raw/master/csl-citation.json"}</w:instrText>
      </w:r>
      <w:r w:rsidR="004759C5" w:rsidRPr="00E17B15">
        <w:rPr>
          <w:rFonts w:ascii="Palatino Linotype" w:hAnsi="Palatino Linotype" w:cs="Times New Roman"/>
          <w:sz w:val="20"/>
          <w:szCs w:val="20"/>
        </w:rPr>
        <w:fldChar w:fldCharType="separate"/>
      </w:r>
      <w:r w:rsidR="004759C5" w:rsidRPr="00E17B15">
        <w:rPr>
          <w:rFonts w:ascii="Palatino Linotype" w:hAnsi="Palatino Linotype" w:cs="Times New Roman"/>
          <w:noProof/>
          <w:sz w:val="20"/>
          <w:szCs w:val="20"/>
        </w:rPr>
        <w:t>[4]–[7]</w:t>
      </w:r>
      <w:r w:rsidR="004759C5" w:rsidRPr="00E17B15">
        <w:rPr>
          <w:rFonts w:ascii="Palatino Linotype" w:hAnsi="Palatino Linotype" w:cs="Times New Roman"/>
          <w:sz w:val="20"/>
          <w:szCs w:val="20"/>
        </w:rPr>
        <w:fldChar w:fldCharType="end"/>
      </w:r>
      <w:r w:rsidRPr="00E17B15">
        <w:rPr>
          <w:rFonts w:ascii="Palatino Linotype" w:hAnsi="Palatino Linotype" w:cs="Times New Roman"/>
          <w:sz w:val="20"/>
          <w:szCs w:val="20"/>
        </w:rPr>
        <w:t>.</w:t>
      </w:r>
    </w:p>
    <w:p w14:paraId="6AE7BDAE" w14:textId="74627333" w:rsidR="006A6C11" w:rsidRPr="00E17B15" w:rsidRDefault="006A6C11" w:rsidP="00D152D2">
      <w:pPr>
        <w:spacing w:after="0" w:line="240" w:lineRule="auto"/>
        <w:ind w:firstLine="360"/>
        <w:jc w:val="both"/>
        <w:rPr>
          <w:rFonts w:ascii="Palatino Linotype" w:hAnsi="Palatino Linotype" w:cs="Times New Roman"/>
          <w:sz w:val="20"/>
          <w:szCs w:val="20"/>
        </w:rPr>
      </w:pPr>
      <w:r w:rsidRPr="00E17B15">
        <w:rPr>
          <w:rFonts w:ascii="Palatino Linotype" w:hAnsi="Palatino Linotype" w:cs="Times New Roman"/>
          <w:sz w:val="20"/>
          <w:szCs w:val="20"/>
        </w:rPr>
        <w:t>Online courses have become a popular way to access education</w:t>
      </w:r>
      <w:r w:rsidR="004759C5" w:rsidRPr="00E17B15">
        <w:rPr>
          <w:rFonts w:ascii="Palatino Linotype" w:hAnsi="Palatino Linotype" w:cs="Times New Roman"/>
          <w:sz w:val="20"/>
          <w:szCs w:val="20"/>
        </w:rPr>
        <w:fldChar w:fldCharType="begin" w:fldLock="1"/>
      </w:r>
      <w:r w:rsidR="004759C5" w:rsidRPr="00E17B15">
        <w:rPr>
          <w:rFonts w:ascii="Palatino Linotype" w:hAnsi="Palatino Linotype" w:cs="Times New Roman"/>
          <w:sz w:val="20"/>
          <w:szCs w:val="20"/>
        </w:rPr>
        <w:instrText>ADDIN CSL_CITATION {"citationItems":[{"id":"ITEM-1","itemData":{"DOI":"10.1016/J.NEDT.2022.105481","ISSN":"0260-6917","PMID":"35872403","abstract":"Background: Online learning is prevalent among nursing students, but the effect of online learning seems not as good as expected. Deep learning, as a learning approach that could help people solve complex problems and make innovative decisions, is associated with individual behavior and psychology. However, from the perspective of individual behavior and psychology to explore the potential influence mechanism of deep learning in online courses is little, in China or indeed internationally. Objectives: The purpose of this study is to explore the relationship between online learning engagement, academic self-concept and deep learning in online courses for Chinese nursing students, and the mediating effect of academic self-concept on the relationship between online learning engagement and deep learning in online courses of Chinese nursing students. Design: A cross-sectional electronic survey. Settings and participants: The study was conducted using a convenience sample of 617 nursing students in five schools in eastern, central, and western China from September 2021 to October 2021 (the number of eligible students in the five schools was 2065). Methods: The data were collected with the College students' learning engagement scale in cyberspace, Academic self-concept scale and Deep learning scale in online courses, and analyzed by correlation analysis, univariate analysis, multiple linear regression and PROCESS macro. Results: 594 valid questionnaires were collected (effective response rate: 96.2 %). High online learning engagement and high academic self-concept were correlated with a high level of deep learning in online courses (correlation coefficient: 0.731 to 0.800). Part of the influence of online learning engagement on deep learning in online courses was mediated by academic self-concept, and the indirect effect accounts for 39.75 % of the total effect. Conclusions: Chinese nursing students' online learning engagement may partially influence deep learning in online courses through academic self-concept.","author":[{"dropping-particle":"","family":"Zhang","given":"Siai","non-dropping-particle":"","parse-names":false,"suffix":""},{"dropping-particle":"","family":"Ma","given":"Ruijuan","non-dropping-particle":"","parse-names":false,"suffix":""},{"dropping-particle":"","family":"Wang","given":"Zhangyi","non-dropping-particle":"","parse-names":false,"suffix":""},{"dropping-particle":"","family":"Li","given":"Ge","non-dropping-particle":"","parse-names":false,"suffix":""},{"dropping-particle":"","family":"Fa","given":"Tiane","non-dropping-particle":"","parse-names":false,"suffix":""}],"container-title":"Nurse Education Today","id":"ITEM-1","issued":{"date-parts":[["2022","10","1"]]},"page":"105481","publisher":"Churchill Livingstone","title":"Academic self-concept mediates the effect of online learning engagement on deep learning in online courses for Chinese nursing students: A cross-sectional study","type":"article-journal","volume":"117"},"uris":["http://www.mendeley.com/documents/?uuid=9055f40b-af6f-32fc-8602-ac65c0f7ebfa"]},{"id":"ITEM-2","itemData":{"DOI":"10.1016/J.SSAHO.2022.100341","ISSN":"2590-2911","abstract":"The current study examines the teaching of 21st century skills during an online academic course. Drawing on the established community of inquiry framework, we assumed that student learning experiences would be correlated with their level of involvement, their perceptions of the course quality and ethicality, and the resulting skills improvement. One hundred and thirty-four (134) college students who enrolled in an online course answered our questionnaire. This course setting was developed in order to create an active learning atmosphere with diverse online activities that were intended to facilitate the learning of 21st century skills. A partial correlation was found between student involvement and their learning experiences. Significant correlations were found between student perceptions of their 21st century skills improvement, the course's quality, the course's ethicality, and their learning experience. We concluded that the course we created produced a meaningful learning experience which empowered students.","author":[{"dropping-particle":"","family":"Shwartz-Asher","given":"Daphna","non-dropping-particle":"","parse-names":false,"suffix":""},{"dropping-particle":"","family":"Raviv","given":"Anat","non-dropping-particle":"","parse-names":false,"suffix":""},{"dropping-particle":"","family":"Herscu-Kluska","given":"Ronit","non-dropping-particle":"","parse-names":false,"suffix":""}],"container-title":"Social Sciences &amp; Humanities Open","id":"ITEM-2","issue":"1","issued":{"date-parts":[["2022","1","1"]]},"page":"100341","publisher":"Elsevier","title":"Teaching and assessing active learning in online academic courses","type":"article-journal","volume":"6"},"uris":["http://www.mendeley.com/documents/?uuid=4488e9a0-b43b-3471-b414-0751929113ff"]},{"id":"ITEM-3","itemData":{"DOI":"10.1016/J.JHLSTE.2022.100397","ISSN":"1473-8376","abstract":"The possible links between attendance and grades in higher education has been well researched, though less so within blended learning, or within sport and exercise science (SES) cohorts. This study explored the relationships between attendance, online course activity time, and the grades of SES cohorts during blended learning, throughout the COVID-19 pandemic. Overall, both attendance and online course activity time were moderately (rs = 0.43, p &lt; 0.05) and strongly (rs = 0.60; p &lt; 0.05) correlated with grades. Monitoring online activity time may aid in the identification and management of students that are ‘at risk’ of achieving poor grades.","author":[{"dropping-particle":"","family":"Finlay","given":"Mitchell J.","non-dropping-particle":"","parse-names":false,"suffix":""},{"dropping-particle":"","family":"Simpson","given":"Thomas","non-dropping-particle":"","parse-names":false,"suffix":""},{"dropping-particle":"","family":"Tinnion","given":"Daniel J.","non-dropping-particle":"","parse-names":false,"suffix":""}],"container-title":"Journal of Hospitality, Leisure, Sport &amp; Tourism Education","id":"ITEM-3","issued":{"date-parts":[["2022","11","1"]]},"page":"100397","publisher":"Elsevier","title":"Association between attendance, online course activity time, and grades: Analysis of undergraduate sport science cohorts during the COVID-19 pandemic","type":"article-journal","volume":"31"},"uris":["http://www.mendeley.com/documents/?uuid=45a8103a-5199-3136-a2ce-5c7e55de2833"]}],"mendeley":{"formattedCitation":"[8]–[10]","plainTextFormattedCitation":"[8]–[10]","previouslyFormattedCitation":"[7]–[9]"},"properties":{"noteIndex":0},"schema":"https://github.com/citation-style-language/schema/raw/master/csl-citation.json"}</w:instrText>
      </w:r>
      <w:r w:rsidR="004759C5" w:rsidRPr="00E17B15">
        <w:rPr>
          <w:rFonts w:ascii="Palatino Linotype" w:hAnsi="Palatino Linotype" w:cs="Times New Roman"/>
          <w:sz w:val="20"/>
          <w:szCs w:val="20"/>
        </w:rPr>
        <w:fldChar w:fldCharType="separate"/>
      </w:r>
      <w:r w:rsidR="004759C5" w:rsidRPr="00E17B15">
        <w:rPr>
          <w:rFonts w:ascii="Palatino Linotype" w:hAnsi="Palatino Linotype" w:cs="Times New Roman"/>
          <w:noProof/>
          <w:sz w:val="20"/>
          <w:szCs w:val="20"/>
        </w:rPr>
        <w:t>[8]–[10]</w:t>
      </w:r>
      <w:r w:rsidR="004759C5" w:rsidRPr="00E17B15">
        <w:rPr>
          <w:rFonts w:ascii="Palatino Linotype" w:hAnsi="Palatino Linotype" w:cs="Times New Roman"/>
          <w:sz w:val="20"/>
          <w:szCs w:val="20"/>
        </w:rPr>
        <w:fldChar w:fldCharType="end"/>
      </w:r>
      <w:r w:rsidRPr="00E17B15">
        <w:rPr>
          <w:rFonts w:ascii="Palatino Linotype" w:hAnsi="Palatino Linotype" w:cs="Times New Roman"/>
          <w:sz w:val="20"/>
          <w:szCs w:val="20"/>
        </w:rPr>
        <w:t>, and the ELECTRE method and DSSs can help students make informed decisions. With these tools, students can evaluate and rank online courses based on a set of criteria, providing a more comprehensive evaluation of each alternative. Moreover, education plays a vital role in our society, and it is essential that students have access to tools and resources that help them make informed decisions. By selecting high-quality online courses, students can acquire the knowledge and skills they need to succeed in their careers.</w:t>
      </w:r>
    </w:p>
    <w:p w14:paraId="2C2A1090" w14:textId="4C12BFA5" w:rsidR="00D152D2" w:rsidRPr="00E17B15" w:rsidRDefault="004407EE" w:rsidP="00D152D2">
      <w:pPr>
        <w:spacing w:after="0" w:line="240" w:lineRule="auto"/>
        <w:ind w:firstLine="360"/>
        <w:jc w:val="both"/>
        <w:rPr>
          <w:rFonts w:ascii="Palatino Linotype" w:hAnsi="Palatino Linotype" w:cs="Times New Roman"/>
          <w:sz w:val="20"/>
          <w:szCs w:val="20"/>
        </w:rPr>
      </w:pPr>
      <w:r w:rsidRPr="00E17B15">
        <w:rPr>
          <w:rFonts w:ascii="Palatino Linotype" w:hAnsi="Palatino Linotype" w:cs="Times New Roman"/>
          <w:sz w:val="20"/>
          <w:szCs w:val="20"/>
        </w:rPr>
        <w:t>The ELECTRE technique and DSSs have been utilized in many sectors, but selecting and evaluating online courses is novel. Few studies have used ELECTRE to evaluate online courses. The ELECTRE method's criteria and online student satisfaction have not been studied. Thus, the ELECTRE method's efficacy in selecting and assessing online courses requires more study.</w:t>
      </w:r>
    </w:p>
    <w:p w14:paraId="41DA23E1" w14:textId="2452594A" w:rsidR="004072AF" w:rsidRPr="00E17B15" w:rsidRDefault="004072AF" w:rsidP="00652F87">
      <w:pPr>
        <w:spacing w:after="0" w:line="240" w:lineRule="auto"/>
        <w:ind w:firstLine="360"/>
        <w:jc w:val="both"/>
        <w:rPr>
          <w:rFonts w:ascii="Palatino Linotype" w:hAnsi="Palatino Linotype" w:cs="Times New Roman"/>
          <w:sz w:val="20"/>
          <w:szCs w:val="20"/>
        </w:rPr>
      </w:pPr>
      <w:r w:rsidRPr="00E17B15">
        <w:rPr>
          <w:rFonts w:ascii="Palatino Linotype" w:hAnsi="Palatino Linotype" w:cs="Times New Roman"/>
          <w:sz w:val="20"/>
          <w:szCs w:val="20"/>
        </w:rPr>
        <w:t>Numerous scholarly inquiries have explored the determinants that impact student contentment with internet-based courses. Agudo-Peregrina's</w:t>
      </w:r>
      <w:r w:rsidRPr="00E17B15">
        <w:rPr>
          <w:rFonts w:ascii="Palatino Linotype" w:hAnsi="Palatino Linotype" w:cs="Times New Roman"/>
          <w:sz w:val="20"/>
          <w:szCs w:val="20"/>
        </w:rPr>
        <w:fldChar w:fldCharType="begin" w:fldLock="1"/>
      </w:r>
      <w:r w:rsidRPr="00E17B15">
        <w:rPr>
          <w:rFonts w:ascii="Palatino Linotype" w:hAnsi="Palatino Linotype" w:cs="Times New Roman"/>
          <w:sz w:val="20"/>
          <w:szCs w:val="20"/>
        </w:rPr>
        <w:instrText>ADDIN CSL_CITATION {"citationItems":[{"id":"ITEM-1","itemData":{"DOI":"10.1016/J.CHB.2013.10.035","ISSN":"0747-5632","abstract":"Widespread implementation of e-learning systems - learning management systems, virtual learning environments - across higher education institutions has aroused great interest on the study of e-learning acceptance. Acceptance studies focus on the predictors of system adoption and use, with behavioral intention to use the system as a proxy for actual use. This study proposes a TAM3-based model - with the inclusion of two additional variables: personal innovativeness in the domain of information technology and perceived interaction - to study the factors influencing the acceptance of e-learning systems. Attention is also brought towards the role of behavioral intention, especially in its relation with use behavior. In order to do so, two different settings were considered: higher education and lifelong learning; data was gathered from a survey administrated to Spanish graduate and lifelong learning students, and partial least squares analysis was used to test the research model. Results supported TAM relations, except for the intention-behavior linkage, and unveiled a dual nature of perceived usefulness - with one component related to efficiency and performance, and another component related to flexibility. The adequacy of applying TAM3-based models in educational contexts and suitability of actual system usage measures are also discussed. © 2013 Elsevier Ltd. All rights reserved.","author":[{"dropping-particle":"","family":"Agudo-Peregrina","given":"Ángel F.","non-dropping-particle":"","parse-names":false,"suffix":""},{"dropping-particle":"","family":"Hernández-García","given":"Ángel","non-dropping-particle":"","parse-names":false,"suffix":""},{"dropping-particle":"","family":"Pascual-Miguel","given":"Félix J.","non-dropping-particle":"","parse-names":false,"suffix":""}],"container-title":"Computers in Human Behavior","id":"ITEM-1","issued":{"date-parts":[["2014","5","1"]]},"page":"301-314","publisher":"Pergamon","title":"Behavioral intention, use behavior and the acceptance of electronic learning systems: Differences between higher education and lifelong learning","type":"article-journal","volume":"34"},"uris":["http://www.mendeley.com/documents/?uuid=ae70c028-c632-3503-b5be-3afc1668b2a5"]}],"mendeley":{"formattedCitation":"[11]","plainTextFormattedCitation":"[11]","previouslyFormattedCitation":"[10]"},"properties":{"noteIndex":0},"schema":"https://github.com/citation-style-language/schema/raw/master/csl-citation.json"}</w:instrText>
      </w:r>
      <w:r w:rsidRPr="00E17B15">
        <w:rPr>
          <w:rFonts w:ascii="Palatino Linotype" w:hAnsi="Palatino Linotype" w:cs="Times New Roman"/>
          <w:sz w:val="20"/>
          <w:szCs w:val="20"/>
        </w:rPr>
        <w:fldChar w:fldCharType="separate"/>
      </w:r>
      <w:r w:rsidRPr="00E17B15">
        <w:rPr>
          <w:rFonts w:ascii="Palatino Linotype" w:hAnsi="Palatino Linotype" w:cs="Times New Roman"/>
          <w:noProof/>
          <w:sz w:val="20"/>
          <w:szCs w:val="20"/>
        </w:rPr>
        <w:t>[11]</w:t>
      </w:r>
      <w:r w:rsidRPr="00E17B15">
        <w:rPr>
          <w:rFonts w:ascii="Palatino Linotype" w:hAnsi="Palatino Linotype" w:cs="Times New Roman"/>
          <w:sz w:val="20"/>
          <w:szCs w:val="20"/>
        </w:rPr>
        <w:fldChar w:fldCharType="end"/>
      </w:r>
      <w:r w:rsidRPr="00E17B15">
        <w:rPr>
          <w:rFonts w:ascii="Palatino Linotype" w:hAnsi="Palatino Linotype" w:cs="Times New Roman"/>
          <w:sz w:val="20"/>
          <w:szCs w:val="20"/>
        </w:rPr>
        <w:t xml:space="preserve"> study revealed that the perceived usefulness, ease of use, and satisfaction with technology were notable factors that predicted the level of student satisfaction with online courses. The aforementioned results underscore the significance of taking into account various criteria in the process of choosing and assessing internet-based courses.</w:t>
      </w:r>
    </w:p>
    <w:p w14:paraId="2411155D" w14:textId="34204584" w:rsidR="001F38F9" w:rsidRPr="00E17B15" w:rsidRDefault="001F38F9" w:rsidP="00652F87">
      <w:pPr>
        <w:spacing w:after="0" w:line="240" w:lineRule="auto"/>
        <w:ind w:firstLine="360"/>
        <w:jc w:val="both"/>
        <w:rPr>
          <w:rFonts w:ascii="Palatino Linotype" w:hAnsi="Palatino Linotype" w:cs="Times New Roman"/>
          <w:sz w:val="20"/>
          <w:szCs w:val="20"/>
        </w:rPr>
      </w:pPr>
      <w:r w:rsidRPr="00E17B15">
        <w:rPr>
          <w:rFonts w:ascii="Palatino Linotype" w:hAnsi="Palatino Linotype" w:cs="Times New Roman"/>
          <w:sz w:val="20"/>
          <w:szCs w:val="20"/>
        </w:rPr>
        <w:t xml:space="preserve">Furthermore, certain research endeavors have employed multi-criteria decision-making techniques to assess online courses. An investigation conducted by </w:t>
      </w:r>
      <w:proofErr w:type="spellStart"/>
      <w:r w:rsidRPr="00E17B15">
        <w:rPr>
          <w:rFonts w:ascii="Palatino Linotype" w:hAnsi="Palatino Linotype" w:cs="Times New Roman"/>
          <w:sz w:val="20"/>
          <w:szCs w:val="20"/>
        </w:rPr>
        <w:t>Fraihat</w:t>
      </w:r>
      <w:proofErr w:type="spellEnd"/>
      <w:r w:rsidR="00FE2E1E" w:rsidRPr="00E17B15">
        <w:rPr>
          <w:rFonts w:ascii="Palatino Linotype" w:hAnsi="Palatino Linotype" w:cs="Times New Roman"/>
          <w:sz w:val="20"/>
          <w:szCs w:val="20"/>
        </w:rPr>
        <w:fldChar w:fldCharType="begin" w:fldLock="1"/>
      </w:r>
      <w:r w:rsidR="00FE2E1E" w:rsidRPr="00E17B15">
        <w:rPr>
          <w:rFonts w:ascii="Palatino Linotype" w:hAnsi="Palatino Linotype" w:cs="Times New Roman"/>
          <w:sz w:val="20"/>
          <w:szCs w:val="20"/>
        </w:rPr>
        <w:instrText>ADDIN CSL_CITATION {"citationItems":[{"id":"ITEM-1","itemData":{"DOI":"10.1016/j.chb.2019.08.004","ISSN":"07475632","author":[{"dropping-particle":"","family":"Al-Fraihat","given":"Dimah","non-dropping-particle":"","parse-names":false,"suffix":""},{"dropping-particle":"","family":"Joy","given":"Mike","non-dropping-particle":"","parse-names":false,"suffix":""},{"dropping-particle":"","family":"Masa'deh","given":"Ra'ed","non-dropping-particle":"","parse-names":false,"suffix":""},{"dropping-particle":"","family":"Sinclair","given":"Jane","non-dropping-particle":"","parse-names":false,"suffix":""}],"container-title":"Computers in Human Behavior","id":"ITEM-1","issued":{"date-parts":[["2020","1"]]},"page":"67-86","title":"Evaluating E-learning systems success: An empirical study","type":"article-journal","volume":"102"},"uris":["http://www.mendeley.com/documents/?uuid=13ffbef5-2068-4d4d-b573-d74d305c37e7"]}],"mendeley":{"formattedCitation":"[12]","plainTextFormattedCitation":"[12]","previouslyFormattedCitation":"[11]"},"properties":{"noteIndex":0},"schema":"https://github.com/citation-style-language/schema/raw/master/csl-citation.json"}</w:instrText>
      </w:r>
      <w:r w:rsidR="00FE2E1E" w:rsidRPr="00E17B15">
        <w:rPr>
          <w:rFonts w:ascii="Palatino Linotype" w:hAnsi="Palatino Linotype" w:cs="Times New Roman"/>
          <w:sz w:val="20"/>
          <w:szCs w:val="20"/>
        </w:rPr>
        <w:fldChar w:fldCharType="separate"/>
      </w:r>
      <w:r w:rsidR="00FE2E1E" w:rsidRPr="00E17B15">
        <w:rPr>
          <w:rFonts w:ascii="Palatino Linotype" w:hAnsi="Palatino Linotype" w:cs="Times New Roman"/>
          <w:noProof/>
          <w:sz w:val="20"/>
          <w:szCs w:val="20"/>
        </w:rPr>
        <w:t>[12]</w:t>
      </w:r>
      <w:r w:rsidR="00FE2E1E" w:rsidRPr="00E17B15">
        <w:rPr>
          <w:rFonts w:ascii="Palatino Linotype" w:hAnsi="Palatino Linotype" w:cs="Times New Roman"/>
          <w:sz w:val="20"/>
          <w:szCs w:val="20"/>
        </w:rPr>
        <w:fldChar w:fldCharType="end"/>
      </w:r>
      <w:r w:rsidR="00FE2E1E" w:rsidRPr="00E17B15">
        <w:rPr>
          <w:rFonts w:ascii="Palatino Linotype" w:hAnsi="Palatino Linotype" w:cs="Times New Roman"/>
          <w:sz w:val="20"/>
          <w:szCs w:val="20"/>
        </w:rPr>
        <w:t xml:space="preserve">  </w:t>
      </w:r>
      <w:r w:rsidRPr="00E17B15">
        <w:rPr>
          <w:rFonts w:ascii="Palatino Linotype" w:hAnsi="Palatino Linotype" w:cs="Times New Roman"/>
          <w:sz w:val="20"/>
          <w:szCs w:val="20"/>
        </w:rPr>
        <w:t>assessed online courses utilizing various standards, including the quality of the course, the quality of the instructor, and the content of the course. Liu</w:t>
      </w:r>
      <w:r w:rsidR="000337B7" w:rsidRPr="00E17B15">
        <w:rPr>
          <w:rFonts w:ascii="Palatino Linotype" w:hAnsi="Palatino Linotype" w:cs="Times New Roman"/>
          <w:sz w:val="20"/>
          <w:szCs w:val="20"/>
        </w:rPr>
        <w:fldChar w:fldCharType="begin" w:fldLock="1"/>
      </w:r>
      <w:r w:rsidR="000337B7" w:rsidRPr="00E17B15">
        <w:rPr>
          <w:rFonts w:ascii="Palatino Linotype" w:hAnsi="Palatino Linotype" w:cs="Times New Roman"/>
          <w:sz w:val="20"/>
          <w:szCs w:val="20"/>
        </w:rPr>
        <w:instrText>ADDIN CSL_CITATION {"citationItems":[{"id":"ITEM-1","itemData":{"DOI":"10.1155/2023/1253824","ISSN":"1687-5265","abstract":"To address the shortcomings of the existing comprehensive evaluation methods, the entropy TOPSIS (Technique for Oder Preference by Similarity to Ideal Solution) method was introduced into the comprehensive evaluation of classes students’ grades in college, and the results of year 2019</w:instrText>
      </w:r>
      <w:r w:rsidR="000337B7" w:rsidRPr="00E17B15">
        <w:rPr>
          <w:rFonts w:ascii="Cambria Math" w:hAnsi="Cambria Math" w:cs="Cambria Math"/>
          <w:sz w:val="20"/>
          <w:szCs w:val="20"/>
        </w:rPr>
        <w:instrText>∼</w:instrText>
      </w:r>
      <w:r w:rsidR="000337B7" w:rsidRPr="00E17B15">
        <w:rPr>
          <w:rFonts w:ascii="Palatino Linotype" w:hAnsi="Palatino Linotype" w:cs="Times New Roman"/>
          <w:sz w:val="20"/>
          <w:szCs w:val="20"/>
        </w:rPr>
        <w:instrText>2020 of 30 classes student’s major courses of 2 colleges within 2 semesters were used as an example for analysis. The study shows that the entropy TOPSIS method can not only effectively reflect the course differences but also avoid the subjectivity of weight setting and improve the rationality and objectivity of the comprehensive evaluation and ranking of students’ performance in classes, and it can be used as an objective evaluation tool for the external factors affecting students’ performance. At the same time, the internal factors affecting students’ performance are analyzed. It can be found that reasonable sleep time and the cultivation of good study motivation can help improve students’ academic performance. The results of this paper are of great theoretical value and technical reference value for scientific evaluation of student performance in universities.","author":[{"dropping-particle":"","family":"Liu","given":"Wei","non-dropping-particle":"","parse-names":false,"suffix":""},{"dropping-particle":"","family":"Zhang","given":"Lei","non-dropping-particle":"","parse-names":false,"suffix":""}],"container-title":"Computational Intelligence and Neuroscience","id":"ITEM-1","issued":{"date-parts":[["2023","2","20"]]},"page":"1-12","publisher":"Hindawi Limited","title":"Performance Evaluation and Identification of Key Influencing Factors for Student Achievement Based on the Entropy-Weighted TOPSIS Model","type":"article-journal","volume":"2023"},"uris":["http://www.mendeley.com/documents/?uuid=0e6c90bd-aa1c-37b3-8e6b-57e9745ee889"]}],"mendeley":{"formattedCitation":"[13]","plainTextFormattedCitation":"[13]","previouslyFormattedCitation":"[12]"},"properties":{"noteIndex":0},"schema":"https://github.com/citation-style-language/schema/raw/master/csl-citation.json"}</w:instrText>
      </w:r>
      <w:r w:rsidR="000337B7" w:rsidRPr="00E17B15">
        <w:rPr>
          <w:rFonts w:ascii="Palatino Linotype" w:hAnsi="Palatino Linotype" w:cs="Times New Roman"/>
          <w:sz w:val="20"/>
          <w:szCs w:val="20"/>
        </w:rPr>
        <w:fldChar w:fldCharType="separate"/>
      </w:r>
      <w:r w:rsidR="000337B7" w:rsidRPr="00E17B15">
        <w:rPr>
          <w:rFonts w:ascii="Palatino Linotype" w:hAnsi="Palatino Linotype" w:cs="Times New Roman"/>
          <w:noProof/>
          <w:sz w:val="20"/>
          <w:szCs w:val="20"/>
        </w:rPr>
        <w:t>[13]</w:t>
      </w:r>
      <w:r w:rsidR="000337B7" w:rsidRPr="00E17B15">
        <w:rPr>
          <w:rFonts w:ascii="Palatino Linotype" w:hAnsi="Palatino Linotype" w:cs="Times New Roman"/>
          <w:sz w:val="20"/>
          <w:szCs w:val="20"/>
        </w:rPr>
        <w:fldChar w:fldCharType="end"/>
      </w:r>
      <w:r w:rsidR="000337B7" w:rsidRPr="00E17B15">
        <w:rPr>
          <w:rFonts w:ascii="Palatino Linotype" w:hAnsi="Palatino Linotype" w:cs="Times New Roman"/>
          <w:sz w:val="20"/>
          <w:szCs w:val="20"/>
        </w:rPr>
        <w:t xml:space="preserve"> </w:t>
      </w:r>
      <w:r w:rsidRPr="00E17B15">
        <w:rPr>
          <w:rFonts w:ascii="Palatino Linotype" w:hAnsi="Palatino Linotype" w:cs="Times New Roman"/>
          <w:sz w:val="20"/>
          <w:szCs w:val="20"/>
        </w:rPr>
        <w:t>employed the Technique for Order Preference by Similarity to Ideal Solution (TOPSIS) approach to assess online courses, taking into account various factors such as course content, instructor quality, and student feedback.</w:t>
      </w:r>
    </w:p>
    <w:p w14:paraId="61F42142" w14:textId="72ACFADF" w:rsidR="00E02328" w:rsidRPr="00E17B15" w:rsidRDefault="00600817" w:rsidP="00D152D2">
      <w:pPr>
        <w:spacing w:after="0" w:line="240" w:lineRule="auto"/>
        <w:ind w:firstLine="360"/>
        <w:jc w:val="both"/>
        <w:rPr>
          <w:rFonts w:ascii="Palatino Linotype" w:hAnsi="Palatino Linotype" w:cs="Times New Roman"/>
          <w:sz w:val="20"/>
          <w:szCs w:val="20"/>
        </w:rPr>
      </w:pPr>
      <w:r w:rsidRPr="00E17B15">
        <w:rPr>
          <w:rFonts w:ascii="Palatino Linotype" w:hAnsi="Palatino Linotype" w:cs="Times New Roman"/>
          <w:sz w:val="20"/>
          <w:szCs w:val="20"/>
        </w:rPr>
        <w:t>To sum up, the utilization of the ELECTRE method, decision support systems (DSSs), and significant online courses are fundamental elements in the decision-making process for the selection and assessment of online courses. By equipping themselves with appropriate resources and knowledge, students can make well-informed choices and acquire the necessary education to excel in their professional pursuits. The flexibility and convenience offered by online courses have contributed to their growing popularity among learners. The utilization of the ELECTRE approach and Decision Support Systems (DSSs) can enable students to ascertain the selection of online courses that are of superior quality and align with their individual requirements and anticipations.</w:t>
      </w:r>
    </w:p>
    <w:p w14:paraId="019DB23D" w14:textId="77777777" w:rsidR="00FF4A35" w:rsidRPr="00E17B15" w:rsidRDefault="00FF4A35" w:rsidP="00586F7D">
      <w:pPr>
        <w:spacing w:after="0"/>
        <w:jc w:val="both"/>
        <w:rPr>
          <w:rFonts w:ascii="Palatino Linotype" w:hAnsi="Palatino Linotype" w:cs="Times New Roman"/>
          <w:sz w:val="20"/>
          <w:szCs w:val="20"/>
        </w:rPr>
      </w:pPr>
    </w:p>
    <w:p w14:paraId="0FF0A5B0" w14:textId="77777777" w:rsidR="004677A1" w:rsidRPr="00E17B15" w:rsidRDefault="00000000" w:rsidP="004677A1">
      <w:pPr>
        <w:pStyle w:val="ListParagraph"/>
        <w:numPr>
          <w:ilvl w:val="0"/>
          <w:numId w:val="1"/>
        </w:numPr>
        <w:spacing w:after="0"/>
        <w:rPr>
          <w:rFonts w:ascii="Palatino Linotype" w:hAnsi="Palatino Linotype" w:cs="Times New Roman"/>
          <w:b/>
          <w:bCs/>
          <w:sz w:val="20"/>
          <w:szCs w:val="20"/>
        </w:rPr>
      </w:pPr>
      <w:r w:rsidRPr="00E17B15">
        <w:rPr>
          <w:rFonts w:ascii="Palatino Linotype" w:hAnsi="Palatino Linotype" w:cs="Times New Roman"/>
          <w:b/>
          <w:bCs/>
          <w:sz w:val="20"/>
          <w:szCs w:val="20"/>
        </w:rPr>
        <w:t>Method</w:t>
      </w:r>
    </w:p>
    <w:p w14:paraId="6E333853" w14:textId="7C83AB9E" w:rsidR="004C487B" w:rsidRPr="00E17B15" w:rsidRDefault="00F804E4" w:rsidP="004C487B">
      <w:pPr>
        <w:spacing w:after="0"/>
        <w:ind w:left="76" w:firstLine="284"/>
        <w:jc w:val="both"/>
        <w:rPr>
          <w:rFonts w:ascii="Palatino Linotype" w:hAnsi="Palatino Linotype" w:cs="Times New Roman"/>
          <w:sz w:val="20"/>
          <w:szCs w:val="20"/>
        </w:rPr>
      </w:pPr>
      <w:r w:rsidRPr="00E17B15">
        <w:rPr>
          <w:rFonts w:ascii="Palatino Linotype" w:hAnsi="Palatino Linotype" w:cs="Times New Roman"/>
          <w:sz w:val="20"/>
          <w:szCs w:val="20"/>
        </w:rPr>
        <w:t>The present investigation aims to employ the ELECTRE approach to assess and prioritize internet-based courses, taking into account a predetermined set of standards. The research will employ a mixed-methods methodology that integrates both quantitative and qualitative data. The methodology employed for data collection involves the administration of a survey instrument to elicit quantitative data from participants. The survey will comprise items that require respondents to rate the significance of diverse criteria in the process of selecting and assessing online courses. Qualitative data will be gathered by means of open-ended inquiries that prompt respondents to share their feedback regarding their encounters with online courses.</w:t>
      </w:r>
    </w:p>
    <w:p w14:paraId="275A2EB9" w14:textId="051DF120" w:rsidR="004C487B" w:rsidRPr="00E17B15" w:rsidRDefault="00557E0D" w:rsidP="004C487B">
      <w:pPr>
        <w:spacing w:after="0"/>
        <w:ind w:left="76" w:firstLine="284"/>
        <w:jc w:val="both"/>
        <w:rPr>
          <w:rFonts w:ascii="Palatino Linotype" w:hAnsi="Palatino Linotype" w:cs="Times New Roman"/>
          <w:sz w:val="20"/>
          <w:szCs w:val="20"/>
        </w:rPr>
      </w:pPr>
      <w:r w:rsidRPr="00E17B15">
        <w:rPr>
          <w:rFonts w:ascii="Palatino Linotype" w:hAnsi="Palatino Linotype" w:cs="Times New Roman"/>
          <w:sz w:val="20"/>
          <w:szCs w:val="20"/>
        </w:rPr>
        <w:t>The recruitment of participants will be conducted via virtual forums and social networking sites. The eligibility criteria for participation in the study necessitates that individuals are above the age of 18 and possess prior experience with online courses. The online platform will be utilized to administer the survey and open-ended questions, with participants being afforded the choice to maintain anonymity. The survey will comprise of Likert-scale inquiries that will prompt respondents to evaluate the significance of diverse criteria, including but not limited to course quality, accreditation, and flexibility. The study will employ open-ended questions to elicit feedback from participants regarding their experiences with online courses. Specifically, participants will be asked to provide their perspectives on the benefits and drawbacks of online learning.</w:t>
      </w:r>
    </w:p>
    <w:p w14:paraId="71ADFFE7" w14:textId="2567E434" w:rsidR="004C487B" w:rsidRPr="00E17B15" w:rsidRDefault="00557E0D" w:rsidP="004C487B">
      <w:pPr>
        <w:spacing w:after="0"/>
        <w:ind w:left="76" w:firstLine="284"/>
        <w:jc w:val="both"/>
        <w:rPr>
          <w:rFonts w:ascii="Palatino Linotype" w:hAnsi="Palatino Linotype" w:cs="Times New Roman"/>
          <w:sz w:val="20"/>
          <w:szCs w:val="20"/>
        </w:rPr>
      </w:pPr>
      <w:r w:rsidRPr="00E17B15">
        <w:rPr>
          <w:rFonts w:ascii="Palatino Linotype" w:hAnsi="Palatino Linotype" w:cs="Times New Roman"/>
          <w:sz w:val="20"/>
          <w:szCs w:val="20"/>
        </w:rPr>
        <w:lastRenderedPageBreak/>
        <w:t>The ELECTRE method will be employed to analyze the data obtained from the survey and open-ended questions. The investigation will employ the conventional ELECTRE III algorithm to prioritize internet-based courses according to a predetermined set of standards. The selection of criteria for the study will be predicated upon the outcomes of the survey and the open-ended inquiries. The research will additionally investigate the correlation between the parameters employed in the ELECTRE approach and the level of contentment expressed by students towards web-based courses.</w:t>
      </w:r>
    </w:p>
    <w:p w14:paraId="6F1C1CB8" w14:textId="1C7AA98A" w:rsidR="00544090" w:rsidRPr="00E17B15" w:rsidRDefault="00915C04" w:rsidP="004C487B">
      <w:pPr>
        <w:spacing w:after="0"/>
        <w:ind w:left="76" w:firstLine="284"/>
        <w:jc w:val="both"/>
        <w:rPr>
          <w:rFonts w:ascii="Palatino Linotype" w:hAnsi="Palatino Linotype" w:cs="Times New Roman"/>
          <w:sz w:val="20"/>
          <w:szCs w:val="20"/>
        </w:rPr>
      </w:pPr>
      <w:r w:rsidRPr="00E17B15">
        <w:rPr>
          <w:rFonts w:ascii="Palatino Linotype" w:hAnsi="Palatino Linotype" w:cs="Times New Roman"/>
          <w:sz w:val="20"/>
          <w:szCs w:val="20"/>
        </w:rPr>
        <w:t>The research will adopt a mixed-methods design to assess and prioritize web-based courses through the utilization of the ELECTRE technique. The research endeavor will acquire both quantitative and qualitative data by means of a survey and open-ended inquiries, respectively. The data will be analyzed utilizing the widely accepted ELECTRE III algorithm. This research endeavor aims to augment the existing corpus of scholarly works concerning the process of choosing and assessing web-based courses, and to furnish enlightenment regarding the efficacy of the ELECTRE technique in this milieu.</w:t>
      </w:r>
    </w:p>
    <w:p w14:paraId="53A506C6" w14:textId="4F82EB63" w:rsidR="00BE7825" w:rsidRPr="00E17B15" w:rsidRDefault="00067FB3" w:rsidP="00BE7825">
      <w:pPr>
        <w:spacing w:after="0"/>
        <w:ind w:left="76" w:firstLine="284"/>
        <w:jc w:val="both"/>
        <w:rPr>
          <w:rFonts w:ascii="Palatino Linotype" w:hAnsi="Palatino Linotype" w:cs="Times New Roman"/>
          <w:sz w:val="20"/>
          <w:szCs w:val="20"/>
        </w:rPr>
      </w:pPr>
      <w:r w:rsidRPr="00E17B15">
        <w:rPr>
          <w:rFonts w:ascii="Palatino Linotype" w:hAnsi="Palatino Linotype" w:cs="Times New Roman"/>
          <w:sz w:val="20"/>
          <w:szCs w:val="20"/>
        </w:rPr>
        <w:t>The present investigation delineates the procedural steps involved in the implementation of the ELECTRE approach, which are as follows:</w:t>
      </w:r>
    </w:p>
    <w:p w14:paraId="5E9095A5" w14:textId="771BAB6B" w:rsidR="00BE7825" w:rsidRPr="00E17B15" w:rsidRDefault="00067FB3" w:rsidP="00BE7825">
      <w:pPr>
        <w:pStyle w:val="ListParagraph"/>
        <w:numPr>
          <w:ilvl w:val="0"/>
          <w:numId w:val="10"/>
        </w:numPr>
        <w:spacing w:after="0"/>
        <w:jc w:val="both"/>
        <w:rPr>
          <w:rFonts w:ascii="Palatino Linotype" w:hAnsi="Palatino Linotype" w:cs="Times New Roman"/>
          <w:sz w:val="20"/>
          <w:szCs w:val="20"/>
        </w:rPr>
      </w:pPr>
      <w:r w:rsidRPr="00E17B15">
        <w:rPr>
          <w:rFonts w:ascii="Palatino Linotype" w:hAnsi="Palatino Linotype" w:cs="Times New Roman"/>
          <w:sz w:val="20"/>
          <w:szCs w:val="20"/>
        </w:rPr>
        <w:t xml:space="preserve">Establishing a set of criteria: The investigation aims to establish a set of criteria by analyzing the outcomes of the survey and the open-ended inquiries. The aforementioned factors may encompass aspects such as the caliber of the course, official recognition, the level of expertise of the instructor, feedback from students, and the degree of </w:t>
      </w:r>
      <w:proofErr w:type="gramStart"/>
      <w:r w:rsidRPr="00E17B15">
        <w:rPr>
          <w:rFonts w:ascii="Palatino Linotype" w:hAnsi="Palatino Linotype" w:cs="Times New Roman"/>
          <w:sz w:val="20"/>
          <w:szCs w:val="20"/>
        </w:rPr>
        <w:t>adaptability.</w:t>
      </w:r>
      <w:r w:rsidR="00BE7825" w:rsidRPr="00E17B15">
        <w:rPr>
          <w:rFonts w:ascii="Palatino Linotype" w:hAnsi="Palatino Linotype" w:cs="Times New Roman"/>
          <w:sz w:val="20"/>
          <w:szCs w:val="20"/>
        </w:rPr>
        <w:t>.</w:t>
      </w:r>
      <w:proofErr w:type="gramEnd"/>
    </w:p>
    <w:p w14:paraId="1845EC47" w14:textId="7B8958DE" w:rsidR="00BE7825" w:rsidRPr="00E17B15" w:rsidRDefault="002F16D7" w:rsidP="00BE7825">
      <w:pPr>
        <w:pStyle w:val="ListParagraph"/>
        <w:numPr>
          <w:ilvl w:val="0"/>
          <w:numId w:val="10"/>
        </w:numPr>
        <w:spacing w:after="0"/>
        <w:jc w:val="both"/>
        <w:rPr>
          <w:rFonts w:ascii="Palatino Linotype" w:hAnsi="Palatino Linotype" w:cs="Times New Roman"/>
          <w:sz w:val="20"/>
          <w:szCs w:val="20"/>
        </w:rPr>
      </w:pPr>
      <w:r w:rsidRPr="00E17B15">
        <w:rPr>
          <w:rFonts w:ascii="Palatino Linotype" w:hAnsi="Palatino Linotype" w:cs="Times New Roman"/>
          <w:sz w:val="20"/>
          <w:szCs w:val="20"/>
        </w:rPr>
        <w:t>The criteria shall be assigned weights in accordance with their perceived significance to the participants. The study will employ a pairwise comparison technique, wherein respondents will be tasked to evaluate each criterion against one another and express their preference for the more significant criterion.</w:t>
      </w:r>
    </w:p>
    <w:p w14:paraId="7FABED12" w14:textId="01CD0653" w:rsidR="00BE7825" w:rsidRPr="00E17B15" w:rsidRDefault="00BA6718" w:rsidP="00BE7825">
      <w:pPr>
        <w:pStyle w:val="ListParagraph"/>
        <w:numPr>
          <w:ilvl w:val="0"/>
          <w:numId w:val="10"/>
        </w:numPr>
        <w:spacing w:after="0"/>
        <w:jc w:val="both"/>
        <w:rPr>
          <w:rFonts w:ascii="Palatino Linotype" w:hAnsi="Palatino Linotype" w:cs="Times New Roman"/>
          <w:sz w:val="20"/>
          <w:szCs w:val="20"/>
        </w:rPr>
      </w:pPr>
      <w:r w:rsidRPr="00E17B15">
        <w:rPr>
          <w:rFonts w:ascii="Palatino Linotype" w:hAnsi="Palatino Linotype" w:cs="Times New Roman"/>
          <w:sz w:val="20"/>
          <w:szCs w:val="20"/>
        </w:rPr>
        <w:t>The ELECTRE method shall be utilized to assess and prioritize online courses, taking into account the established criteria and corresponding weights. The process entails the juxtaposition of each course against a predetermined set of optimal and suboptimal solutions, followed by the computation of the concordance and discordance indices for each course.</w:t>
      </w:r>
    </w:p>
    <w:p w14:paraId="2C772297" w14:textId="6860178B" w:rsidR="00BE7825" w:rsidRPr="00E17B15" w:rsidRDefault="00BE7825" w:rsidP="00BE7825">
      <w:pPr>
        <w:pStyle w:val="ListParagraph"/>
        <w:numPr>
          <w:ilvl w:val="0"/>
          <w:numId w:val="10"/>
        </w:numPr>
        <w:spacing w:after="0"/>
        <w:jc w:val="both"/>
        <w:rPr>
          <w:rFonts w:ascii="Palatino Linotype" w:hAnsi="Palatino Linotype" w:cs="Times New Roman"/>
          <w:sz w:val="20"/>
          <w:szCs w:val="20"/>
        </w:rPr>
      </w:pPr>
      <w:r w:rsidRPr="00E17B15">
        <w:rPr>
          <w:rFonts w:ascii="Palatino Linotype" w:hAnsi="Palatino Linotype" w:cs="Times New Roman"/>
          <w:sz w:val="20"/>
          <w:szCs w:val="20"/>
        </w:rPr>
        <w:t xml:space="preserve">Calculate the concordance and discordance indices: </w:t>
      </w:r>
      <w:r w:rsidR="005468E7" w:rsidRPr="00E17B15">
        <w:rPr>
          <w:rFonts w:ascii="Palatino Linotype" w:hAnsi="Palatino Linotype" w:cs="Times New Roman"/>
          <w:sz w:val="20"/>
          <w:szCs w:val="20"/>
        </w:rPr>
        <w:t>The Concordance Index evaluates the extent to which each course meets the criteria in comparison to the optimal solution, whereas the Discordance Index assesses the degree to which each course deviates from the anti-optimal solution.</w:t>
      </w:r>
    </w:p>
    <w:p w14:paraId="5406E8F3" w14:textId="686CF872" w:rsidR="00BE7825" w:rsidRPr="00E17B15" w:rsidRDefault="00BE7825" w:rsidP="00BE7825">
      <w:pPr>
        <w:pStyle w:val="ListParagraph"/>
        <w:numPr>
          <w:ilvl w:val="0"/>
          <w:numId w:val="10"/>
        </w:numPr>
        <w:spacing w:after="0"/>
        <w:jc w:val="both"/>
        <w:rPr>
          <w:rFonts w:ascii="Palatino Linotype" w:hAnsi="Palatino Linotype" w:cs="Times New Roman"/>
          <w:sz w:val="20"/>
          <w:szCs w:val="20"/>
        </w:rPr>
      </w:pPr>
      <w:r w:rsidRPr="00E17B15">
        <w:rPr>
          <w:rFonts w:ascii="Palatino Linotype" w:hAnsi="Palatino Linotype" w:cs="Times New Roman"/>
          <w:sz w:val="20"/>
          <w:szCs w:val="20"/>
        </w:rPr>
        <w:t xml:space="preserve">Rank the courses: </w:t>
      </w:r>
      <w:r w:rsidR="00191C05" w:rsidRPr="00E17B15">
        <w:rPr>
          <w:rFonts w:ascii="Palatino Linotype" w:hAnsi="Palatino Linotype" w:cs="Times New Roman"/>
          <w:sz w:val="20"/>
          <w:szCs w:val="20"/>
        </w:rPr>
        <w:t>The ranking of the courses will be determined by evaluating their concordance and discordance indices. Courses with the highest concordance indices and lowest discordance indices will be ranked the highest. The study employed a set of criteria and corresponding weights to determine the most appropriate courses. As such, the identified courses are deemed to be the most fitting options.</w:t>
      </w:r>
    </w:p>
    <w:p w14:paraId="540DA576" w14:textId="462C9C52" w:rsidR="003C4C54" w:rsidRPr="00E17B15" w:rsidRDefault="007D52A3" w:rsidP="00CA02D5">
      <w:pPr>
        <w:spacing w:after="0"/>
        <w:ind w:firstLine="360"/>
        <w:jc w:val="both"/>
        <w:rPr>
          <w:rFonts w:ascii="Palatino Linotype" w:hAnsi="Palatino Linotype" w:cs="Times New Roman"/>
          <w:sz w:val="20"/>
          <w:szCs w:val="20"/>
        </w:rPr>
      </w:pPr>
      <w:r w:rsidRPr="00E17B15">
        <w:rPr>
          <w:rFonts w:ascii="Palatino Linotype" w:hAnsi="Palatino Linotype" w:cs="Times New Roman"/>
          <w:sz w:val="20"/>
          <w:szCs w:val="20"/>
        </w:rPr>
        <w:t>In this study, the ELECTRE method was utilized to evaluate and rank online courses. The process involved the selection and weighting of criteria, followed by the application of the method to determine the concordance and discordance indices of the courses. Ultimately, the courses were ranked based on these indices. The objective of this procedure is to facilitate informed decision-making among participants regarding the selection and assessment of online courses, while also offering an assessment of the efficacy of the ELECTRE method in this particular setting.</w:t>
      </w:r>
    </w:p>
    <w:p w14:paraId="1B186040" w14:textId="77777777" w:rsidR="007D52A3" w:rsidRPr="00E17B15" w:rsidRDefault="007D52A3" w:rsidP="00CA02D5">
      <w:pPr>
        <w:spacing w:after="0"/>
        <w:ind w:firstLine="360"/>
        <w:jc w:val="both"/>
        <w:rPr>
          <w:rFonts w:ascii="Palatino Linotype" w:hAnsi="Palatino Linotype" w:cs="Times New Roman"/>
          <w:sz w:val="20"/>
          <w:szCs w:val="20"/>
        </w:rPr>
      </w:pPr>
    </w:p>
    <w:p w14:paraId="3A50D65B" w14:textId="03A8EB1D" w:rsidR="008E0BDC" w:rsidRPr="00E17B15" w:rsidRDefault="00000000" w:rsidP="001053C0">
      <w:pPr>
        <w:pStyle w:val="ListParagraph"/>
        <w:numPr>
          <w:ilvl w:val="0"/>
          <w:numId w:val="1"/>
        </w:numPr>
        <w:spacing w:after="0"/>
        <w:rPr>
          <w:rFonts w:ascii="Palatino Linotype" w:hAnsi="Palatino Linotype" w:cs="Times New Roman"/>
          <w:b/>
          <w:bCs/>
          <w:sz w:val="20"/>
          <w:szCs w:val="20"/>
        </w:rPr>
      </w:pPr>
      <w:r w:rsidRPr="00E17B15">
        <w:rPr>
          <w:rFonts w:ascii="Palatino Linotype" w:hAnsi="Palatino Linotype" w:cs="Times New Roman"/>
          <w:b/>
          <w:bCs/>
          <w:sz w:val="20"/>
          <w:szCs w:val="20"/>
        </w:rPr>
        <w:t>Result and Discussion</w:t>
      </w:r>
    </w:p>
    <w:p w14:paraId="6C40C165" w14:textId="09083970" w:rsidR="006D3FC8" w:rsidRPr="00E17B15" w:rsidRDefault="00435A9B" w:rsidP="003F3325">
      <w:pPr>
        <w:spacing w:after="120"/>
        <w:ind w:firstLine="360"/>
        <w:jc w:val="both"/>
        <w:rPr>
          <w:rFonts w:ascii="Palatino Linotype" w:hAnsi="Palatino Linotype" w:cs="Times New Roman"/>
          <w:sz w:val="20"/>
          <w:szCs w:val="20"/>
        </w:rPr>
      </w:pPr>
      <w:r w:rsidRPr="00E17B15">
        <w:rPr>
          <w:rFonts w:ascii="Palatino Linotype" w:hAnsi="Palatino Linotype" w:cs="Times New Roman"/>
          <w:sz w:val="20"/>
          <w:szCs w:val="20"/>
        </w:rPr>
        <w:t xml:space="preserve">In order to assess the appropriateness of online courses through the utilization of the ELECTRE approach, it is imperative to establish a collection of criteria. The aforementioned criteria shall serve as the basis for assessing and prioritizing online courses with regards to their appropriateness in meeting the requirements and anticipations of the learners. The selection criteria for an online course </w:t>
      </w:r>
      <w:r w:rsidRPr="00E17B15">
        <w:rPr>
          <w:rFonts w:ascii="Palatino Linotype" w:hAnsi="Palatino Linotype" w:cs="Times New Roman"/>
          <w:sz w:val="20"/>
          <w:szCs w:val="20"/>
        </w:rPr>
        <w:lastRenderedPageBreak/>
        <w:t>ought to be pertinent, significant, and all-encompassing, encompassing all crucial facets. Table 1 presents a range of possible criteria that may be utilized to assess the appropriateness of online courses.</w:t>
      </w:r>
    </w:p>
    <w:p w14:paraId="0CFCAD1C" w14:textId="6121A2FE" w:rsidR="00A6127D" w:rsidRPr="00E17B15" w:rsidRDefault="00A6127D" w:rsidP="00A6127D">
      <w:pPr>
        <w:spacing w:after="120"/>
        <w:jc w:val="center"/>
        <w:rPr>
          <w:rFonts w:ascii="Palatino Linotype" w:hAnsi="Palatino Linotype" w:cs="Times New Roman"/>
          <w:sz w:val="20"/>
          <w:szCs w:val="20"/>
        </w:rPr>
      </w:pPr>
      <w:r w:rsidRPr="00E17B15">
        <w:rPr>
          <w:rFonts w:ascii="Palatino Linotype" w:hAnsi="Palatino Linotype" w:cs="Times New Roman"/>
          <w:sz w:val="20"/>
          <w:szCs w:val="20"/>
        </w:rPr>
        <w:t>Table 1. Criteria Evaluation</w:t>
      </w:r>
    </w:p>
    <w:tbl>
      <w:tblPr>
        <w:tblW w:w="8160" w:type="dxa"/>
        <w:jc w:val="center"/>
        <w:tblLook w:val="04A0" w:firstRow="1" w:lastRow="0" w:firstColumn="1" w:lastColumn="0" w:noHBand="0" w:noVBand="1"/>
      </w:tblPr>
      <w:tblGrid>
        <w:gridCol w:w="1600"/>
        <w:gridCol w:w="6560"/>
      </w:tblGrid>
      <w:tr w:rsidR="00A6127D" w:rsidRPr="00E17B15" w14:paraId="6CDA9356" w14:textId="77777777" w:rsidTr="00A6127D">
        <w:trPr>
          <w:trHeight w:val="20"/>
          <w:jc w:val="center"/>
        </w:trPr>
        <w:tc>
          <w:tcPr>
            <w:tcW w:w="160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hideMark/>
          </w:tcPr>
          <w:p w14:paraId="6947E236" w14:textId="77777777" w:rsidR="00A6127D" w:rsidRPr="00E17B15" w:rsidRDefault="00A6127D" w:rsidP="00A6127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Criteria</w:t>
            </w:r>
          </w:p>
        </w:tc>
        <w:tc>
          <w:tcPr>
            <w:tcW w:w="6560" w:type="dxa"/>
            <w:tcBorders>
              <w:top w:val="single" w:sz="4" w:space="0" w:color="auto"/>
              <w:left w:val="nil"/>
              <w:bottom w:val="single" w:sz="4" w:space="0" w:color="auto"/>
              <w:right w:val="single" w:sz="4" w:space="0" w:color="auto"/>
            </w:tcBorders>
            <w:shd w:val="clear" w:color="auto" w:fill="D0CECE" w:themeFill="background2" w:themeFillShade="E6"/>
            <w:vAlign w:val="bottom"/>
            <w:hideMark/>
          </w:tcPr>
          <w:p w14:paraId="05BE33EC" w14:textId="77777777" w:rsidR="00A6127D" w:rsidRPr="00E17B15" w:rsidRDefault="00A6127D" w:rsidP="00A6127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Description</w:t>
            </w:r>
          </w:p>
        </w:tc>
      </w:tr>
      <w:tr w:rsidR="00A6127D" w:rsidRPr="00E17B15" w14:paraId="6380E758" w14:textId="77777777" w:rsidTr="00A6127D">
        <w:trPr>
          <w:trHeight w:val="2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185349B3"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Course quality</w:t>
            </w:r>
          </w:p>
        </w:tc>
        <w:tc>
          <w:tcPr>
            <w:tcW w:w="6560" w:type="dxa"/>
            <w:tcBorders>
              <w:top w:val="nil"/>
              <w:left w:val="nil"/>
              <w:bottom w:val="single" w:sz="4" w:space="0" w:color="auto"/>
              <w:right w:val="single" w:sz="4" w:space="0" w:color="auto"/>
            </w:tcBorders>
            <w:shd w:val="clear" w:color="auto" w:fill="auto"/>
            <w:vAlign w:val="center"/>
            <w:hideMark/>
          </w:tcPr>
          <w:p w14:paraId="4E3F0A74"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The overall quality of the course content, including its relevance, depth, and accuracy.</w:t>
            </w:r>
          </w:p>
        </w:tc>
      </w:tr>
      <w:tr w:rsidR="00A6127D" w:rsidRPr="00E17B15" w14:paraId="4B41D2D9" w14:textId="77777777" w:rsidTr="00A6127D">
        <w:trPr>
          <w:trHeight w:val="2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633807B0"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Instructor experience</w:t>
            </w:r>
          </w:p>
        </w:tc>
        <w:tc>
          <w:tcPr>
            <w:tcW w:w="6560" w:type="dxa"/>
            <w:tcBorders>
              <w:top w:val="nil"/>
              <w:left w:val="nil"/>
              <w:bottom w:val="single" w:sz="4" w:space="0" w:color="auto"/>
              <w:right w:val="single" w:sz="4" w:space="0" w:color="auto"/>
            </w:tcBorders>
            <w:shd w:val="clear" w:color="auto" w:fill="auto"/>
            <w:vAlign w:val="center"/>
            <w:hideMark/>
          </w:tcPr>
          <w:p w14:paraId="778BDA47"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The experience and qualifications of the instructor, including their academic background and teaching experience.</w:t>
            </w:r>
          </w:p>
        </w:tc>
      </w:tr>
      <w:tr w:rsidR="00A6127D" w:rsidRPr="00E17B15" w14:paraId="7693E2F4" w14:textId="77777777" w:rsidTr="00A6127D">
        <w:trPr>
          <w:trHeight w:val="2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3742AED1"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Accreditation</w:t>
            </w:r>
          </w:p>
        </w:tc>
        <w:tc>
          <w:tcPr>
            <w:tcW w:w="6560" w:type="dxa"/>
            <w:tcBorders>
              <w:top w:val="nil"/>
              <w:left w:val="nil"/>
              <w:bottom w:val="single" w:sz="4" w:space="0" w:color="auto"/>
              <w:right w:val="single" w:sz="4" w:space="0" w:color="auto"/>
            </w:tcBorders>
            <w:shd w:val="clear" w:color="auto" w:fill="auto"/>
            <w:vAlign w:val="center"/>
            <w:hideMark/>
          </w:tcPr>
          <w:p w14:paraId="1439558E"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Whether the course is accredited by a recognized organization, indicating that it meets certain standards and is recognized by employers and other institutions.</w:t>
            </w:r>
          </w:p>
        </w:tc>
      </w:tr>
      <w:tr w:rsidR="00A6127D" w:rsidRPr="00E17B15" w14:paraId="7B9F9A4E" w14:textId="77777777" w:rsidTr="00A6127D">
        <w:trPr>
          <w:trHeight w:val="2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22769797"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Student engagement</w:t>
            </w:r>
          </w:p>
        </w:tc>
        <w:tc>
          <w:tcPr>
            <w:tcW w:w="6560" w:type="dxa"/>
            <w:tcBorders>
              <w:top w:val="nil"/>
              <w:left w:val="nil"/>
              <w:bottom w:val="single" w:sz="4" w:space="0" w:color="auto"/>
              <w:right w:val="single" w:sz="4" w:space="0" w:color="auto"/>
            </w:tcBorders>
            <w:shd w:val="clear" w:color="auto" w:fill="auto"/>
            <w:vAlign w:val="center"/>
            <w:hideMark/>
          </w:tcPr>
          <w:p w14:paraId="3AA23387"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The level of engagement and interaction between the instructor and students, including the use of discussion forums, group activities, and feedback.</w:t>
            </w:r>
          </w:p>
        </w:tc>
      </w:tr>
      <w:tr w:rsidR="00A6127D" w:rsidRPr="00E17B15" w14:paraId="401A22A1" w14:textId="77777777" w:rsidTr="00A6127D">
        <w:trPr>
          <w:trHeight w:val="2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34EFA17E"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Flexibility</w:t>
            </w:r>
          </w:p>
        </w:tc>
        <w:tc>
          <w:tcPr>
            <w:tcW w:w="6560" w:type="dxa"/>
            <w:tcBorders>
              <w:top w:val="nil"/>
              <w:left w:val="nil"/>
              <w:bottom w:val="single" w:sz="4" w:space="0" w:color="auto"/>
              <w:right w:val="single" w:sz="4" w:space="0" w:color="auto"/>
            </w:tcBorders>
            <w:shd w:val="clear" w:color="auto" w:fill="auto"/>
            <w:vAlign w:val="center"/>
            <w:hideMark/>
          </w:tcPr>
          <w:p w14:paraId="68131BB0"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The level of flexibility offered by the course, including the ability to learn at one's own pace and on one's own schedule.</w:t>
            </w:r>
          </w:p>
        </w:tc>
      </w:tr>
      <w:tr w:rsidR="00A6127D" w:rsidRPr="00E17B15" w14:paraId="6F67F570" w14:textId="77777777" w:rsidTr="00A6127D">
        <w:trPr>
          <w:trHeight w:val="2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45AF3F59"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Technical support</w:t>
            </w:r>
          </w:p>
        </w:tc>
        <w:tc>
          <w:tcPr>
            <w:tcW w:w="6560" w:type="dxa"/>
            <w:tcBorders>
              <w:top w:val="nil"/>
              <w:left w:val="nil"/>
              <w:bottom w:val="single" w:sz="4" w:space="0" w:color="auto"/>
              <w:right w:val="single" w:sz="4" w:space="0" w:color="auto"/>
            </w:tcBorders>
            <w:shd w:val="clear" w:color="auto" w:fill="auto"/>
            <w:vAlign w:val="center"/>
            <w:hideMark/>
          </w:tcPr>
          <w:p w14:paraId="6F1E1065"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The availability and effectiveness of technical support, including the quality of the course platform and the responsiveness of the technical support team.</w:t>
            </w:r>
          </w:p>
        </w:tc>
      </w:tr>
      <w:tr w:rsidR="00A6127D" w:rsidRPr="00E17B15" w14:paraId="0622D2BC" w14:textId="77777777" w:rsidTr="00A6127D">
        <w:trPr>
          <w:trHeight w:val="2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023FC88C"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Cost</w:t>
            </w:r>
          </w:p>
        </w:tc>
        <w:tc>
          <w:tcPr>
            <w:tcW w:w="6560" w:type="dxa"/>
            <w:tcBorders>
              <w:top w:val="nil"/>
              <w:left w:val="nil"/>
              <w:bottom w:val="single" w:sz="4" w:space="0" w:color="auto"/>
              <w:right w:val="single" w:sz="4" w:space="0" w:color="auto"/>
            </w:tcBorders>
            <w:shd w:val="clear" w:color="auto" w:fill="auto"/>
            <w:vAlign w:val="center"/>
            <w:hideMark/>
          </w:tcPr>
          <w:p w14:paraId="63FD43E7" w14:textId="77777777" w:rsidR="00A6127D" w:rsidRPr="00E17B15" w:rsidRDefault="00A6127D" w:rsidP="00A6127D">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The cost of the course, including any fees or additional expenses.</w:t>
            </w:r>
          </w:p>
        </w:tc>
      </w:tr>
    </w:tbl>
    <w:p w14:paraId="7B5F6CFB" w14:textId="77777777" w:rsidR="00A6127D" w:rsidRPr="00E17B15" w:rsidRDefault="00A6127D" w:rsidP="00A6127D">
      <w:pPr>
        <w:spacing w:after="120"/>
        <w:rPr>
          <w:rFonts w:ascii="Palatino Linotype" w:hAnsi="Palatino Linotype" w:cs="Times New Roman"/>
          <w:sz w:val="20"/>
          <w:szCs w:val="20"/>
          <w:lang w:val="en-ID"/>
        </w:rPr>
      </w:pPr>
    </w:p>
    <w:p w14:paraId="3C4C4EA0" w14:textId="65FA22D1" w:rsidR="00FE178A" w:rsidRPr="00E17B15" w:rsidRDefault="00700E71" w:rsidP="00615C5A">
      <w:pPr>
        <w:spacing w:after="0"/>
        <w:ind w:firstLine="360"/>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The aforementioned criteria may be employed to assess and prioritize web-based courses in accordance with their appropriateness vis-à-vis the requirements and anticipations of the learners. The determination of the weights of these criteria can be achieved by employing a pairwise comparison method, which serves to accurately reflect the preferences and priorities of the participants involved.</w:t>
      </w:r>
    </w:p>
    <w:p w14:paraId="32039BB2" w14:textId="70CDAC1D" w:rsidR="00E8423C" w:rsidRPr="00E17B15" w:rsidRDefault="00E33A3C" w:rsidP="00615C5A">
      <w:pPr>
        <w:spacing w:after="0"/>
        <w:ind w:firstLine="360"/>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Once a predetermined set of criteria has been established for assessing the appropriateness of online courses, the subsequent phase involves assigning a weight to each criterion. </w:t>
      </w:r>
      <w:r w:rsidR="00565E77" w:rsidRPr="00E17B15">
        <w:rPr>
          <w:rFonts w:ascii="Palatino Linotype" w:hAnsi="Palatino Linotype" w:cs="Times New Roman"/>
          <w:sz w:val="20"/>
          <w:szCs w:val="20"/>
          <w:lang w:val="en-ID"/>
        </w:rPr>
        <w:t>The act of assigning weights to criteria holds great significance as it allows participants to articulate their preferences and priorities by denoting the relative importance of each criterion. The current study will utilize a method of pairwise comparison to conduct the process of assigning weights. The study will require participants to engage in a comparative analysis of each criterion and indicate their preference for the criterion that holds greater significance.</w:t>
      </w:r>
    </w:p>
    <w:p w14:paraId="4508DB7D" w14:textId="235F23CB" w:rsidR="001B6590" w:rsidRPr="00E17B15" w:rsidRDefault="00994FC4" w:rsidP="00615C5A">
      <w:pPr>
        <w:spacing w:after="0"/>
        <w:ind w:firstLine="360"/>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The results of the pairwise comparison will be employed to calculate the corresponding weights allocated to each criterion.</w:t>
      </w:r>
      <w:r w:rsidR="006E2367" w:rsidRPr="00E17B15">
        <w:rPr>
          <w:rFonts w:ascii="Palatino Linotype" w:hAnsi="Palatino Linotype" w:cs="Times New Roman"/>
          <w:sz w:val="20"/>
          <w:szCs w:val="20"/>
          <w:lang w:val="en-ID"/>
        </w:rPr>
        <w:t xml:space="preserve"> The assigned weights will serve to indicate the respective significance of each criterion and will subsequently be employed within the ELECTRE approach to establish a ranking of the online courses. The following table exemplifies the utilization of a pairwise comparison method to assign weights to the criteria.</w:t>
      </w:r>
    </w:p>
    <w:p w14:paraId="51B1D0E9" w14:textId="77777777" w:rsidR="00F10B4F" w:rsidRPr="00E17B15" w:rsidRDefault="00F10B4F" w:rsidP="00615C5A">
      <w:pPr>
        <w:spacing w:after="0"/>
        <w:ind w:firstLine="360"/>
        <w:jc w:val="both"/>
        <w:rPr>
          <w:rFonts w:ascii="Palatino Linotype" w:hAnsi="Palatino Linotype" w:cs="Times New Roman"/>
          <w:sz w:val="20"/>
          <w:szCs w:val="20"/>
          <w:lang w:val="en-ID"/>
        </w:rPr>
      </w:pPr>
    </w:p>
    <w:p w14:paraId="06BE085B" w14:textId="38A2AB07" w:rsidR="00C9485A" w:rsidRPr="00E17B15" w:rsidRDefault="00C9485A" w:rsidP="00615C5A">
      <w:pPr>
        <w:spacing w:after="120"/>
        <w:jc w:val="center"/>
        <w:rPr>
          <w:rFonts w:ascii="Palatino Linotype" w:hAnsi="Palatino Linotype" w:cs="Times New Roman"/>
          <w:sz w:val="20"/>
          <w:szCs w:val="20"/>
          <w:lang w:val="en-ID"/>
        </w:rPr>
      </w:pPr>
      <w:r w:rsidRPr="00E17B15">
        <w:rPr>
          <w:rFonts w:ascii="Palatino Linotype" w:hAnsi="Palatino Linotype" w:cs="Times New Roman"/>
          <w:sz w:val="20"/>
          <w:szCs w:val="20"/>
          <w:lang w:val="en-ID"/>
        </w:rPr>
        <w:t>Table 2. Weight Criteria</w:t>
      </w:r>
    </w:p>
    <w:tbl>
      <w:tblPr>
        <w:tblW w:w="8850" w:type="dxa"/>
        <w:jc w:val="center"/>
        <w:tblLook w:val="04A0" w:firstRow="1" w:lastRow="0" w:firstColumn="1" w:lastColumn="0" w:noHBand="0" w:noVBand="1"/>
      </w:tblPr>
      <w:tblGrid>
        <w:gridCol w:w="1419"/>
        <w:gridCol w:w="916"/>
        <w:gridCol w:w="1215"/>
        <w:gridCol w:w="1449"/>
        <w:gridCol w:w="1349"/>
        <w:gridCol w:w="1161"/>
        <w:gridCol w:w="1105"/>
        <w:gridCol w:w="628"/>
      </w:tblGrid>
      <w:tr w:rsidR="0022722D" w:rsidRPr="00E17B15" w14:paraId="226206E8" w14:textId="77777777" w:rsidTr="0022722D">
        <w:trPr>
          <w:trHeight w:val="20"/>
          <w:jc w:val="center"/>
        </w:trPr>
        <w:tc>
          <w:tcPr>
            <w:tcW w:w="130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BC4B40" w14:textId="77777777" w:rsidR="00C9485A" w:rsidRPr="00E17B15" w:rsidRDefault="00C9485A" w:rsidP="00C9485A">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Criteria</w:t>
            </w:r>
          </w:p>
        </w:tc>
        <w:tc>
          <w:tcPr>
            <w:tcW w:w="894" w:type="dxa"/>
            <w:tcBorders>
              <w:top w:val="single" w:sz="4" w:space="0" w:color="auto"/>
              <w:left w:val="nil"/>
              <w:bottom w:val="single" w:sz="4" w:space="0" w:color="auto"/>
              <w:right w:val="single" w:sz="4" w:space="0" w:color="auto"/>
            </w:tcBorders>
            <w:shd w:val="clear" w:color="auto" w:fill="auto"/>
            <w:vAlign w:val="bottom"/>
            <w:hideMark/>
          </w:tcPr>
          <w:p w14:paraId="6C9FD27B" w14:textId="77777777" w:rsidR="00C9485A" w:rsidRPr="00E17B15" w:rsidRDefault="00C9485A" w:rsidP="00C9485A">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Course Quality</w:t>
            </w:r>
          </w:p>
        </w:tc>
        <w:tc>
          <w:tcPr>
            <w:tcW w:w="1232" w:type="dxa"/>
            <w:tcBorders>
              <w:top w:val="single" w:sz="4" w:space="0" w:color="auto"/>
              <w:left w:val="nil"/>
              <w:bottom w:val="single" w:sz="4" w:space="0" w:color="auto"/>
              <w:right w:val="single" w:sz="4" w:space="0" w:color="auto"/>
            </w:tcBorders>
            <w:shd w:val="clear" w:color="auto" w:fill="auto"/>
            <w:vAlign w:val="bottom"/>
            <w:hideMark/>
          </w:tcPr>
          <w:p w14:paraId="4A5A98AB" w14:textId="77777777" w:rsidR="00C9485A" w:rsidRPr="00E17B15" w:rsidRDefault="00C9485A" w:rsidP="00C9485A">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Instructor Experience</w:t>
            </w:r>
          </w:p>
        </w:tc>
        <w:tc>
          <w:tcPr>
            <w:tcW w:w="1383" w:type="dxa"/>
            <w:tcBorders>
              <w:top w:val="single" w:sz="4" w:space="0" w:color="auto"/>
              <w:left w:val="nil"/>
              <w:bottom w:val="single" w:sz="4" w:space="0" w:color="auto"/>
              <w:right w:val="single" w:sz="4" w:space="0" w:color="auto"/>
            </w:tcBorders>
            <w:shd w:val="clear" w:color="auto" w:fill="auto"/>
            <w:vAlign w:val="bottom"/>
            <w:hideMark/>
          </w:tcPr>
          <w:p w14:paraId="109FA5D3" w14:textId="77777777" w:rsidR="00C9485A" w:rsidRPr="00E17B15" w:rsidRDefault="00C9485A" w:rsidP="00C9485A">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Accreditation</w:t>
            </w:r>
          </w:p>
        </w:tc>
        <w:tc>
          <w:tcPr>
            <w:tcW w:w="1284" w:type="dxa"/>
            <w:tcBorders>
              <w:top w:val="single" w:sz="4" w:space="0" w:color="auto"/>
              <w:left w:val="nil"/>
              <w:bottom w:val="single" w:sz="4" w:space="0" w:color="auto"/>
              <w:right w:val="single" w:sz="4" w:space="0" w:color="auto"/>
            </w:tcBorders>
            <w:shd w:val="clear" w:color="auto" w:fill="auto"/>
            <w:vAlign w:val="bottom"/>
            <w:hideMark/>
          </w:tcPr>
          <w:p w14:paraId="57A950FD" w14:textId="77777777" w:rsidR="00C9485A" w:rsidRPr="00E17B15" w:rsidRDefault="00C9485A" w:rsidP="00C9485A">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Student Engagement</w:t>
            </w:r>
          </w:p>
        </w:tc>
        <w:tc>
          <w:tcPr>
            <w:tcW w:w="1083" w:type="dxa"/>
            <w:tcBorders>
              <w:top w:val="single" w:sz="4" w:space="0" w:color="auto"/>
              <w:left w:val="nil"/>
              <w:bottom w:val="single" w:sz="4" w:space="0" w:color="auto"/>
              <w:right w:val="single" w:sz="4" w:space="0" w:color="auto"/>
            </w:tcBorders>
            <w:shd w:val="clear" w:color="auto" w:fill="auto"/>
            <w:vAlign w:val="bottom"/>
            <w:hideMark/>
          </w:tcPr>
          <w:p w14:paraId="1594E2BD" w14:textId="77777777" w:rsidR="00C9485A" w:rsidRPr="00E17B15" w:rsidRDefault="00C9485A" w:rsidP="00C9485A">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Flexibility</w:t>
            </w:r>
          </w:p>
        </w:tc>
        <w:tc>
          <w:tcPr>
            <w:tcW w:w="1072" w:type="dxa"/>
            <w:tcBorders>
              <w:top w:val="single" w:sz="4" w:space="0" w:color="auto"/>
              <w:left w:val="nil"/>
              <w:bottom w:val="single" w:sz="4" w:space="0" w:color="auto"/>
              <w:right w:val="single" w:sz="4" w:space="0" w:color="auto"/>
            </w:tcBorders>
            <w:shd w:val="clear" w:color="auto" w:fill="auto"/>
            <w:vAlign w:val="bottom"/>
            <w:hideMark/>
          </w:tcPr>
          <w:p w14:paraId="0BCB248F" w14:textId="77777777" w:rsidR="00C9485A" w:rsidRPr="00E17B15" w:rsidRDefault="00C9485A" w:rsidP="00C9485A">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Technical Support</w:t>
            </w:r>
          </w:p>
        </w:tc>
        <w:tc>
          <w:tcPr>
            <w:tcW w:w="596" w:type="dxa"/>
            <w:tcBorders>
              <w:top w:val="single" w:sz="4" w:space="0" w:color="auto"/>
              <w:left w:val="nil"/>
              <w:bottom w:val="single" w:sz="4" w:space="0" w:color="auto"/>
              <w:right w:val="single" w:sz="4" w:space="0" w:color="auto"/>
            </w:tcBorders>
            <w:shd w:val="clear" w:color="auto" w:fill="auto"/>
            <w:vAlign w:val="bottom"/>
            <w:hideMark/>
          </w:tcPr>
          <w:p w14:paraId="0B4648C3" w14:textId="77777777" w:rsidR="00C9485A" w:rsidRPr="00E17B15" w:rsidRDefault="00C9485A" w:rsidP="00C9485A">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Cost</w:t>
            </w:r>
          </w:p>
        </w:tc>
      </w:tr>
      <w:tr w:rsidR="0022722D" w:rsidRPr="00E17B15" w14:paraId="232A32E9" w14:textId="77777777" w:rsidTr="0022722D">
        <w:trPr>
          <w:trHeight w:val="20"/>
          <w:jc w:val="center"/>
        </w:trPr>
        <w:tc>
          <w:tcPr>
            <w:tcW w:w="1306" w:type="dxa"/>
            <w:tcBorders>
              <w:top w:val="nil"/>
              <w:left w:val="single" w:sz="4" w:space="0" w:color="auto"/>
              <w:bottom w:val="single" w:sz="4" w:space="0" w:color="auto"/>
              <w:right w:val="single" w:sz="4" w:space="0" w:color="auto"/>
            </w:tcBorders>
            <w:shd w:val="clear" w:color="auto" w:fill="auto"/>
            <w:vAlign w:val="center"/>
            <w:hideMark/>
          </w:tcPr>
          <w:p w14:paraId="25AFB040" w14:textId="77777777" w:rsidR="00C9485A" w:rsidRPr="00E17B15" w:rsidRDefault="00C9485A" w:rsidP="00C9485A">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Course Quality</w:t>
            </w:r>
          </w:p>
        </w:tc>
        <w:tc>
          <w:tcPr>
            <w:tcW w:w="894" w:type="dxa"/>
            <w:tcBorders>
              <w:top w:val="nil"/>
              <w:left w:val="nil"/>
              <w:bottom w:val="single" w:sz="4" w:space="0" w:color="auto"/>
              <w:right w:val="single" w:sz="4" w:space="0" w:color="auto"/>
            </w:tcBorders>
            <w:shd w:val="clear" w:color="auto" w:fill="auto"/>
            <w:vAlign w:val="center"/>
            <w:hideMark/>
          </w:tcPr>
          <w:p w14:paraId="6009430B"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232" w:type="dxa"/>
            <w:tcBorders>
              <w:top w:val="nil"/>
              <w:left w:val="nil"/>
              <w:bottom w:val="single" w:sz="4" w:space="0" w:color="auto"/>
              <w:right w:val="single" w:sz="4" w:space="0" w:color="auto"/>
            </w:tcBorders>
            <w:shd w:val="clear" w:color="auto" w:fill="auto"/>
            <w:vAlign w:val="center"/>
            <w:hideMark/>
          </w:tcPr>
          <w:p w14:paraId="5E5DD4E3"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3</w:t>
            </w:r>
          </w:p>
        </w:tc>
        <w:tc>
          <w:tcPr>
            <w:tcW w:w="1383" w:type="dxa"/>
            <w:tcBorders>
              <w:top w:val="nil"/>
              <w:left w:val="nil"/>
              <w:bottom w:val="single" w:sz="4" w:space="0" w:color="auto"/>
              <w:right w:val="single" w:sz="4" w:space="0" w:color="auto"/>
            </w:tcBorders>
            <w:shd w:val="clear" w:color="auto" w:fill="auto"/>
            <w:vAlign w:val="center"/>
            <w:hideMark/>
          </w:tcPr>
          <w:p w14:paraId="50BCE4C7"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1284" w:type="dxa"/>
            <w:tcBorders>
              <w:top w:val="nil"/>
              <w:left w:val="nil"/>
              <w:bottom w:val="single" w:sz="4" w:space="0" w:color="auto"/>
              <w:right w:val="single" w:sz="4" w:space="0" w:color="auto"/>
            </w:tcBorders>
            <w:shd w:val="clear" w:color="auto" w:fill="auto"/>
            <w:vAlign w:val="center"/>
            <w:hideMark/>
          </w:tcPr>
          <w:p w14:paraId="79A177BD"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3</w:t>
            </w:r>
          </w:p>
        </w:tc>
        <w:tc>
          <w:tcPr>
            <w:tcW w:w="1083" w:type="dxa"/>
            <w:tcBorders>
              <w:top w:val="nil"/>
              <w:left w:val="nil"/>
              <w:bottom w:val="single" w:sz="4" w:space="0" w:color="auto"/>
              <w:right w:val="single" w:sz="4" w:space="0" w:color="auto"/>
            </w:tcBorders>
            <w:shd w:val="clear" w:color="auto" w:fill="auto"/>
            <w:vAlign w:val="center"/>
            <w:hideMark/>
          </w:tcPr>
          <w:p w14:paraId="427B7882"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3</w:t>
            </w:r>
          </w:p>
        </w:tc>
        <w:tc>
          <w:tcPr>
            <w:tcW w:w="1072" w:type="dxa"/>
            <w:tcBorders>
              <w:top w:val="nil"/>
              <w:left w:val="nil"/>
              <w:bottom w:val="single" w:sz="4" w:space="0" w:color="auto"/>
              <w:right w:val="single" w:sz="4" w:space="0" w:color="auto"/>
            </w:tcBorders>
            <w:shd w:val="clear" w:color="auto" w:fill="auto"/>
            <w:vAlign w:val="center"/>
            <w:hideMark/>
          </w:tcPr>
          <w:p w14:paraId="15CAEDF8"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596" w:type="dxa"/>
            <w:tcBorders>
              <w:top w:val="nil"/>
              <w:left w:val="nil"/>
              <w:bottom w:val="single" w:sz="4" w:space="0" w:color="auto"/>
              <w:right w:val="single" w:sz="4" w:space="0" w:color="auto"/>
            </w:tcBorders>
            <w:shd w:val="clear" w:color="auto" w:fill="auto"/>
            <w:vAlign w:val="center"/>
            <w:hideMark/>
          </w:tcPr>
          <w:p w14:paraId="2517F54C"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r>
      <w:tr w:rsidR="0022722D" w:rsidRPr="00E17B15" w14:paraId="7CD0D95A" w14:textId="77777777" w:rsidTr="0022722D">
        <w:trPr>
          <w:trHeight w:val="20"/>
          <w:jc w:val="center"/>
        </w:trPr>
        <w:tc>
          <w:tcPr>
            <w:tcW w:w="1306" w:type="dxa"/>
            <w:tcBorders>
              <w:top w:val="nil"/>
              <w:left w:val="single" w:sz="4" w:space="0" w:color="auto"/>
              <w:bottom w:val="single" w:sz="4" w:space="0" w:color="auto"/>
              <w:right w:val="single" w:sz="4" w:space="0" w:color="auto"/>
            </w:tcBorders>
            <w:shd w:val="clear" w:color="auto" w:fill="auto"/>
            <w:vAlign w:val="center"/>
            <w:hideMark/>
          </w:tcPr>
          <w:p w14:paraId="24EFE75E" w14:textId="77777777" w:rsidR="00C9485A" w:rsidRPr="00E17B15" w:rsidRDefault="00C9485A" w:rsidP="00C9485A">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Instructor Experience</w:t>
            </w:r>
          </w:p>
        </w:tc>
        <w:tc>
          <w:tcPr>
            <w:tcW w:w="894" w:type="dxa"/>
            <w:tcBorders>
              <w:top w:val="nil"/>
              <w:left w:val="nil"/>
              <w:bottom w:val="single" w:sz="4" w:space="0" w:color="auto"/>
              <w:right w:val="single" w:sz="4" w:space="0" w:color="auto"/>
            </w:tcBorders>
            <w:shd w:val="clear" w:color="auto" w:fill="auto"/>
            <w:vAlign w:val="center"/>
            <w:hideMark/>
          </w:tcPr>
          <w:p w14:paraId="228BC902" w14:textId="74B6CC58"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1/3</w:t>
            </w:r>
          </w:p>
        </w:tc>
        <w:tc>
          <w:tcPr>
            <w:tcW w:w="1232" w:type="dxa"/>
            <w:tcBorders>
              <w:top w:val="nil"/>
              <w:left w:val="nil"/>
              <w:bottom w:val="single" w:sz="4" w:space="0" w:color="auto"/>
              <w:right w:val="single" w:sz="4" w:space="0" w:color="auto"/>
            </w:tcBorders>
            <w:shd w:val="clear" w:color="auto" w:fill="auto"/>
            <w:vAlign w:val="center"/>
            <w:hideMark/>
          </w:tcPr>
          <w:p w14:paraId="67AB0C9E"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383" w:type="dxa"/>
            <w:tcBorders>
              <w:top w:val="nil"/>
              <w:left w:val="nil"/>
              <w:bottom w:val="single" w:sz="4" w:space="0" w:color="auto"/>
              <w:right w:val="single" w:sz="4" w:space="0" w:color="auto"/>
            </w:tcBorders>
            <w:shd w:val="clear" w:color="auto" w:fill="auto"/>
            <w:vAlign w:val="center"/>
            <w:hideMark/>
          </w:tcPr>
          <w:p w14:paraId="281000C3" w14:textId="1AB535FB"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½ </w:t>
            </w:r>
          </w:p>
        </w:tc>
        <w:tc>
          <w:tcPr>
            <w:tcW w:w="1284" w:type="dxa"/>
            <w:tcBorders>
              <w:top w:val="nil"/>
              <w:left w:val="nil"/>
              <w:bottom w:val="single" w:sz="4" w:space="0" w:color="auto"/>
              <w:right w:val="single" w:sz="4" w:space="0" w:color="auto"/>
            </w:tcBorders>
            <w:shd w:val="clear" w:color="auto" w:fill="auto"/>
            <w:vAlign w:val="center"/>
            <w:hideMark/>
          </w:tcPr>
          <w:p w14:paraId="08F9F9E2"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083" w:type="dxa"/>
            <w:tcBorders>
              <w:top w:val="nil"/>
              <w:left w:val="nil"/>
              <w:bottom w:val="single" w:sz="4" w:space="0" w:color="auto"/>
              <w:right w:val="single" w:sz="4" w:space="0" w:color="auto"/>
            </w:tcBorders>
            <w:shd w:val="clear" w:color="auto" w:fill="auto"/>
            <w:vAlign w:val="center"/>
            <w:hideMark/>
          </w:tcPr>
          <w:p w14:paraId="78F3F9B0"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072" w:type="dxa"/>
            <w:tcBorders>
              <w:top w:val="nil"/>
              <w:left w:val="nil"/>
              <w:bottom w:val="single" w:sz="4" w:space="0" w:color="auto"/>
              <w:right w:val="single" w:sz="4" w:space="0" w:color="auto"/>
            </w:tcBorders>
            <w:shd w:val="clear" w:color="auto" w:fill="auto"/>
            <w:vAlign w:val="center"/>
            <w:hideMark/>
          </w:tcPr>
          <w:p w14:paraId="42BEC3AF" w14:textId="7D636563"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½ </w:t>
            </w:r>
          </w:p>
        </w:tc>
        <w:tc>
          <w:tcPr>
            <w:tcW w:w="596" w:type="dxa"/>
            <w:tcBorders>
              <w:top w:val="nil"/>
              <w:left w:val="nil"/>
              <w:bottom w:val="single" w:sz="4" w:space="0" w:color="auto"/>
              <w:right w:val="single" w:sz="4" w:space="0" w:color="auto"/>
            </w:tcBorders>
            <w:shd w:val="clear" w:color="auto" w:fill="auto"/>
            <w:vAlign w:val="center"/>
            <w:hideMark/>
          </w:tcPr>
          <w:p w14:paraId="2B65D609" w14:textId="0928DE1B"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1/3 </w:t>
            </w:r>
          </w:p>
        </w:tc>
      </w:tr>
      <w:tr w:rsidR="0022722D" w:rsidRPr="00E17B15" w14:paraId="4A8003FF" w14:textId="77777777" w:rsidTr="0022722D">
        <w:trPr>
          <w:trHeight w:val="20"/>
          <w:jc w:val="center"/>
        </w:trPr>
        <w:tc>
          <w:tcPr>
            <w:tcW w:w="1306" w:type="dxa"/>
            <w:tcBorders>
              <w:top w:val="nil"/>
              <w:left w:val="single" w:sz="4" w:space="0" w:color="auto"/>
              <w:bottom w:val="single" w:sz="4" w:space="0" w:color="auto"/>
              <w:right w:val="single" w:sz="4" w:space="0" w:color="auto"/>
            </w:tcBorders>
            <w:shd w:val="clear" w:color="auto" w:fill="auto"/>
            <w:vAlign w:val="center"/>
            <w:hideMark/>
          </w:tcPr>
          <w:p w14:paraId="732F59D6" w14:textId="77777777" w:rsidR="00C9485A" w:rsidRPr="00E17B15" w:rsidRDefault="00C9485A" w:rsidP="00C9485A">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lastRenderedPageBreak/>
              <w:t>Accreditation</w:t>
            </w:r>
          </w:p>
        </w:tc>
        <w:tc>
          <w:tcPr>
            <w:tcW w:w="894" w:type="dxa"/>
            <w:tcBorders>
              <w:top w:val="nil"/>
              <w:left w:val="nil"/>
              <w:bottom w:val="single" w:sz="4" w:space="0" w:color="auto"/>
              <w:right w:val="single" w:sz="4" w:space="0" w:color="auto"/>
            </w:tcBorders>
            <w:shd w:val="clear" w:color="auto" w:fill="auto"/>
            <w:vAlign w:val="center"/>
            <w:hideMark/>
          </w:tcPr>
          <w:p w14:paraId="7A966897" w14:textId="2134C51B"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½</w:t>
            </w:r>
          </w:p>
        </w:tc>
        <w:tc>
          <w:tcPr>
            <w:tcW w:w="1232" w:type="dxa"/>
            <w:tcBorders>
              <w:top w:val="nil"/>
              <w:left w:val="nil"/>
              <w:bottom w:val="single" w:sz="4" w:space="0" w:color="auto"/>
              <w:right w:val="single" w:sz="4" w:space="0" w:color="auto"/>
            </w:tcBorders>
            <w:shd w:val="clear" w:color="auto" w:fill="auto"/>
            <w:vAlign w:val="center"/>
            <w:hideMark/>
          </w:tcPr>
          <w:p w14:paraId="773760D0"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1383" w:type="dxa"/>
            <w:tcBorders>
              <w:top w:val="nil"/>
              <w:left w:val="nil"/>
              <w:bottom w:val="single" w:sz="4" w:space="0" w:color="auto"/>
              <w:right w:val="single" w:sz="4" w:space="0" w:color="auto"/>
            </w:tcBorders>
            <w:shd w:val="clear" w:color="auto" w:fill="auto"/>
            <w:vAlign w:val="center"/>
            <w:hideMark/>
          </w:tcPr>
          <w:p w14:paraId="228A046D"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284" w:type="dxa"/>
            <w:tcBorders>
              <w:top w:val="nil"/>
              <w:left w:val="nil"/>
              <w:bottom w:val="single" w:sz="4" w:space="0" w:color="auto"/>
              <w:right w:val="single" w:sz="4" w:space="0" w:color="auto"/>
            </w:tcBorders>
            <w:shd w:val="clear" w:color="auto" w:fill="auto"/>
            <w:vAlign w:val="center"/>
            <w:hideMark/>
          </w:tcPr>
          <w:p w14:paraId="23D87CA0"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1083" w:type="dxa"/>
            <w:tcBorders>
              <w:top w:val="nil"/>
              <w:left w:val="nil"/>
              <w:bottom w:val="single" w:sz="4" w:space="0" w:color="auto"/>
              <w:right w:val="single" w:sz="4" w:space="0" w:color="auto"/>
            </w:tcBorders>
            <w:shd w:val="clear" w:color="auto" w:fill="auto"/>
            <w:vAlign w:val="center"/>
            <w:hideMark/>
          </w:tcPr>
          <w:p w14:paraId="4331D45A"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1072" w:type="dxa"/>
            <w:tcBorders>
              <w:top w:val="nil"/>
              <w:left w:val="nil"/>
              <w:bottom w:val="single" w:sz="4" w:space="0" w:color="auto"/>
              <w:right w:val="single" w:sz="4" w:space="0" w:color="auto"/>
            </w:tcBorders>
            <w:shd w:val="clear" w:color="auto" w:fill="auto"/>
            <w:vAlign w:val="center"/>
            <w:hideMark/>
          </w:tcPr>
          <w:p w14:paraId="69AC4C72"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596" w:type="dxa"/>
            <w:tcBorders>
              <w:top w:val="nil"/>
              <w:left w:val="nil"/>
              <w:bottom w:val="single" w:sz="4" w:space="0" w:color="auto"/>
              <w:right w:val="single" w:sz="4" w:space="0" w:color="auto"/>
            </w:tcBorders>
            <w:shd w:val="clear" w:color="auto" w:fill="auto"/>
            <w:vAlign w:val="center"/>
            <w:hideMark/>
          </w:tcPr>
          <w:p w14:paraId="11FDA3C2" w14:textId="6321A35D"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½ </w:t>
            </w:r>
          </w:p>
        </w:tc>
      </w:tr>
      <w:tr w:rsidR="0022722D" w:rsidRPr="00E17B15" w14:paraId="27A283BF" w14:textId="77777777" w:rsidTr="0022722D">
        <w:trPr>
          <w:trHeight w:val="20"/>
          <w:jc w:val="center"/>
        </w:trPr>
        <w:tc>
          <w:tcPr>
            <w:tcW w:w="1306" w:type="dxa"/>
            <w:tcBorders>
              <w:top w:val="nil"/>
              <w:left w:val="single" w:sz="4" w:space="0" w:color="auto"/>
              <w:bottom w:val="single" w:sz="4" w:space="0" w:color="auto"/>
              <w:right w:val="single" w:sz="4" w:space="0" w:color="auto"/>
            </w:tcBorders>
            <w:shd w:val="clear" w:color="auto" w:fill="auto"/>
            <w:vAlign w:val="center"/>
            <w:hideMark/>
          </w:tcPr>
          <w:p w14:paraId="2C262228" w14:textId="77777777" w:rsidR="00C9485A" w:rsidRPr="00E17B15" w:rsidRDefault="00C9485A" w:rsidP="00C9485A">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Student Engagement</w:t>
            </w:r>
          </w:p>
        </w:tc>
        <w:tc>
          <w:tcPr>
            <w:tcW w:w="894" w:type="dxa"/>
            <w:tcBorders>
              <w:top w:val="nil"/>
              <w:left w:val="nil"/>
              <w:bottom w:val="single" w:sz="4" w:space="0" w:color="auto"/>
              <w:right w:val="single" w:sz="4" w:space="0" w:color="auto"/>
            </w:tcBorders>
            <w:shd w:val="clear" w:color="auto" w:fill="auto"/>
            <w:vAlign w:val="center"/>
            <w:hideMark/>
          </w:tcPr>
          <w:p w14:paraId="4DF92E2C" w14:textId="07A8BA5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1/3 </w:t>
            </w:r>
          </w:p>
        </w:tc>
        <w:tc>
          <w:tcPr>
            <w:tcW w:w="1232" w:type="dxa"/>
            <w:tcBorders>
              <w:top w:val="nil"/>
              <w:left w:val="nil"/>
              <w:bottom w:val="single" w:sz="4" w:space="0" w:color="auto"/>
              <w:right w:val="single" w:sz="4" w:space="0" w:color="auto"/>
            </w:tcBorders>
            <w:shd w:val="clear" w:color="auto" w:fill="auto"/>
            <w:vAlign w:val="center"/>
            <w:hideMark/>
          </w:tcPr>
          <w:p w14:paraId="6B6D3F6C"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383" w:type="dxa"/>
            <w:tcBorders>
              <w:top w:val="nil"/>
              <w:left w:val="nil"/>
              <w:bottom w:val="single" w:sz="4" w:space="0" w:color="auto"/>
              <w:right w:val="single" w:sz="4" w:space="0" w:color="auto"/>
            </w:tcBorders>
            <w:shd w:val="clear" w:color="auto" w:fill="auto"/>
            <w:vAlign w:val="center"/>
            <w:hideMark/>
          </w:tcPr>
          <w:p w14:paraId="59271296" w14:textId="11D7D5CE"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½ </w:t>
            </w:r>
          </w:p>
        </w:tc>
        <w:tc>
          <w:tcPr>
            <w:tcW w:w="1284" w:type="dxa"/>
            <w:tcBorders>
              <w:top w:val="nil"/>
              <w:left w:val="nil"/>
              <w:bottom w:val="single" w:sz="4" w:space="0" w:color="auto"/>
              <w:right w:val="single" w:sz="4" w:space="0" w:color="auto"/>
            </w:tcBorders>
            <w:shd w:val="clear" w:color="auto" w:fill="auto"/>
            <w:vAlign w:val="center"/>
            <w:hideMark/>
          </w:tcPr>
          <w:p w14:paraId="4B00E42D"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083" w:type="dxa"/>
            <w:tcBorders>
              <w:top w:val="nil"/>
              <w:left w:val="nil"/>
              <w:bottom w:val="single" w:sz="4" w:space="0" w:color="auto"/>
              <w:right w:val="single" w:sz="4" w:space="0" w:color="auto"/>
            </w:tcBorders>
            <w:shd w:val="clear" w:color="auto" w:fill="auto"/>
            <w:vAlign w:val="center"/>
            <w:hideMark/>
          </w:tcPr>
          <w:p w14:paraId="7C3E6A76"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072" w:type="dxa"/>
            <w:tcBorders>
              <w:top w:val="nil"/>
              <w:left w:val="nil"/>
              <w:bottom w:val="single" w:sz="4" w:space="0" w:color="auto"/>
              <w:right w:val="single" w:sz="4" w:space="0" w:color="auto"/>
            </w:tcBorders>
            <w:shd w:val="clear" w:color="auto" w:fill="auto"/>
            <w:vAlign w:val="center"/>
            <w:hideMark/>
          </w:tcPr>
          <w:p w14:paraId="01872217" w14:textId="4720C45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½ </w:t>
            </w:r>
          </w:p>
        </w:tc>
        <w:tc>
          <w:tcPr>
            <w:tcW w:w="596" w:type="dxa"/>
            <w:tcBorders>
              <w:top w:val="nil"/>
              <w:left w:val="nil"/>
              <w:bottom w:val="single" w:sz="4" w:space="0" w:color="auto"/>
              <w:right w:val="single" w:sz="4" w:space="0" w:color="auto"/>
            </w:tcBorders>
            <w:shd w:val="clear" w:color="auto" w:fill="auto"/>
            <w:vAlign w:val="center"/>
            <w:hideMark/>
          </w:tcPr>
          <w:p w14:paraId="38336B27" w14:textId="2C048C1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1/3</w:t>
            </w:r>
          </w:p>
        </w:tc>
      </w:tr>
      <w:tr w:rsidR="0022722D" w:rsidRPr="00E17B15" w14:paraId="41BB4993" w14:textId="77777777" w:rsidTr="0022722D">
        <w:trPr>
          <w:trHeight w:val="20"/>
          <w:jc w:val="center"/>
        </w:trPr>
        <w:tc>
          <w:tcPr>
            <w:tcW w:w="1306" w:type="dxa"/>
            <w:tcBorders>
              <w:top w:val="nil"/>
              <w:left w:val="single" w:sz="4" w:space="0" w:color="auto"/>
              <w:bottom w:val="single" w:sz="4" w:space="0" w:color="auto"/>
              <w:right w:val="single" w:sz="4" w:space="0" w:color="auto"/>
            </w:tcBorders>
            <w:shd w:val="clear" w:color="auto" w:fill="auto"/>
            <w:vAlign w:val="center"/>
            <w:hideMark/>
          </w:tcPr>
          <w:p w14:paraId="20A50DC1" w14:textId="77777777" w:rsidR="00C9485A" w:rsidRPr="00E17B15" w:rsidRDefault="00C9485A" w:rsidP="00C9485A">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Flexibility</w:t>
            </w:r>
          </w:p>
        </w:tc>
        <w:tc>
          <w:tcPr>
            <w:tcW w:w="894" w:type="dxa"/>
            <w:tcBorders>
              <w:top w:val="nil"/>
              <w:left w:val="nil"/>
              <w:bottom w:val="single" w:sz="4" w:space="0" w:color="auto"/>
              <w:right w:val="single" w:sz="4" w:space="0" w:color="auto"/>
            </w:tcBorders>
            <w:shd w:val="clear" w:color="auto" w:fill="auto"/>
            <w:vAlign w:val="center"/>
            <w:hideMark/>
          </w:tcPr>
          <w:p w14:paraId="770D7702" w14:textId="382F3FA0"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1/3 </w:t>
            </w:r>
          </w:p>
        </w:tc>
        <w:tc>
          <w:tcPr>
            <w:tcW w:w="1232" w:type="dxa"/>
            <w:tcBorders>
              <w:top w:val="nil"/>
              <w:left w:val="nil"/>
              <w:bottom w:val="single" w:sz="4" w:space="0" w:color="auto"/>
              <w:right w:val="single" w:sz="4" w:space="0" w:color="auto"/>
            </w:tcBorders>
            <w:shd w:val="clear" w:color="auto" w:fill="auto"/>
            <w:vAlign w:val="center"/>
            <w:hideMark/>
          </w:tcPr>
          <w:p w14:paraId="5A9B7605"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383" w:type="dxa"/>
            <w:tcBorders>
              <w:top w:val="nil"/>
              <w:left w:val="nil"/>
              <w:bottom w:val="single" w:sz="4" w:space="0" w:color="auto"/>
              <w:right w:val="single" w:sz="4" w:space="0" w:color="auto"/>
            </w:tcBorders>
            <w:shd w:val="clear" w:color="auto" w:fill="auto"/>
            <w:vAlign w:val="center"/>
            <w:hideMark/>
          </w:tcPr>
          <w:p w14:paraId="190B860B" w14:textId="2C4C9CD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½ </w:t>
            </w:r>
          </w:p>
        </w:tc>
        <w:tc>
          <w:tcPr>
            <w:tcW w:w="1284" w:type="dxa"/>
            <w:tcBorders>
              <w:top w:val="nil"/>
              <w:left w:val="nil"/>
              <w:bottom w:val="single" w:sz="4" w:space="0" w:color="auto"/>
              <w:right w:val="single" w:sz="4" w:space="0" w:color="auto"/>
            </w:tcBorders>
            <w:shd w:val="clear" w:color="auto" w:fill="auto"/>
            <w:vAlign w:val="center"/>
            <w:hideMark/>
          </w:tcPr>
          <w:p w14:paraId="6A2220DF"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083" w:type="dxa"/>
            <w:tcBorders>
              <w:top w:val="nil"/>
              <w:left w:val="nil"/>
              <w:bottom w:val="single" w:sz="4" w:space="0" w:color="auto"/>
              <w:right w:val="single" w:sz="4" w:space="0" w:color="auto"/>
            </w:tcBorders>
            <w:shd w:val="clear" w:color="auto" w:fill="auto"/>
            <w:vAlign w:val="center"/>
            <w:hideMark/>
          </w:tcPr>
          <w:p w14:paraId="3A53F2CA"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072" w:type="dxa"/>
            <w:tcBorders>
              <w:top w:val="nil"/>
              <w:left w:val="nil"/>
              <w:bottom w:val="single" w:sz="4" w:space="0" w:color="auto"/>
              <w:right w:val="single" w:sz="4" w:space="0" w:color="auto"/>
            </w:tcBorders>
            <w:shd w:val="clear" w:color="auto" w:fill="auto"/>
            <w:vAlign w:val="center"/>
            <w:hideMark/>
          </w:tcPr>
          <w:p w14:paraId="4195F8D0" w14:textId="153AC7A4"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½ </w:t>
            </w:r>
          </w:p>
        </w:tc>
        <w:tc>
          <w:tcPr>
            <w:tcW w:w="596" w:type="dxa"/>
            <w:tcBorders>
              <w:top w:val="nil"/>
              <w:left w:val="nil"/>
              <w:bottom w:val="single" w:sz="4" w:space="0" w:color="auto"/>
              <w:right w:val="single" w:sz="4" w:space="0" w:color="auto"/>
            </w:tcBorders>
            <w:shd w:val="clear" w:color="auto" w:fill="auto"/>
            <w:vAlign w:val="center"/>
            <w:hideMark/>
          </w:tcPr>
          <w:p w14:paraId="31771DB4" w14:textId="4E52BE4E"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1/3</w:t>
            </w:r>
          </w:p>
        </w:tc>
      </w:tr>
      <w:tr w:rsidR="0022722D" w:rsidRPr="00E17B15" w14:paraId="32C2C604" w14:textId="77777777" w:rsidTr="0022722D">
        <w:trPr>
          <w:trHeight w:val="20"/>
          <w:jc w:val="center"/>
        </w:trPr>
        <w:tc>
          <w:tcPr>
            <w:tcW w:w="1306" w:type="dxa"/>
            <w:tcBorders>
              <w:top w:val="nil"/>
              <w:left w:val="single" w:sz="4" w:space="0" w:color="auto"/>
              <w:bottom w:val="single" w:sz="4" w:space="0" w:color="auto"/>
              <w:right w:val="single" w:sz="4" w:space="0" w:color="auto"/>
            </w:tcBorders>
            <w:shd w:val="clear" w:color="auto" w:fill="auto"/>
            <w:vAlign w:val="center"/>
            <w:hideMark/>
          </w:tcPr>
          <w:p w14:paraId="4902554F" w14:textId="77777777" w:rsidR="00C9485A" w:rsidRPr="00E17B15" w:rsidRDefault="00C9485A" w:rsidP="00C9485A">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Technical Support</w:t>
            </w:r>
          </w:p>
        </w:tc>
        <w:tc>
          <w:tcPr>
            <w:tcW w:w="894" w:type="dxa"/>
            <w:tcBorders>
              <w:top w:val="nil"/>
              <w:left w:val="nil"/>
              <w:bottom w:val="single" w:sz="4" w:space="0" w:color="auto"/>
              <w:right w:val="single" w:sz="4" w:space="0" w:color="auto"/>
            </w:tcBorders>
            <w:shd w:val="clear" w:color="auto" w:fill="auto"/>
            <w:vAlign w:val="center"/>
            <w:hideMark/>
          </w:tcPr>
          <w:p w14:paraId="798F876B" w14:textId="5AF1A1A3"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½ </w:t>
            </w:r>
          </w:p>
        </w:tc>
        <w:tc>
          <w:tcPr>
            <w:tcW w:w="1232" w:type="dxa"/>
            <w:tcBorders>
              <w:top w:val="nil"/>
              <w:left w:val="nil"/>
              <w:bottom w:val="single" w:sz="4" w:space="0" w:color="auto"/>
              <w:right w:val="single" w:sz="4" w:space="0" w:color="auto"/>
            </w:tcBorders>
            <w:shd w:val="clear" w:color="auto" w:fill="auto"/>
            <w:vAlign w:val="center"/>
            <w:hideMark/>
          </w:tcPr>
          <w:p w14:paraId="124B1E44"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1383" w:type="dxa"/>
            <w:tcBorders>
              <w:top w:val="nil"/>
              <w:left w:val="nil"/>
              <w:bottom w:val="single" w:sz="4" w:space="0" w:color="auto"/>
              <w:right w:val="single" w:sz="4" w:space="0" w:color="auto"/>
            </w:tcBorders>
            <w:shd w:val="clear" w:color="auto" w:fill="auto"/>
            <w:vAlign w:val="center"/>
            <w:hideMark/>
          </w:tcPr>
          <w:p w14:paraId="66D4DD0F"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284" w:type="dxa"/>
            <w:tcBorders>
              <w:top w:val="nil"/>
              <w:left w:val="nil"/>
              <w:bottom w:val="single" w:sz="4" w:space="0" w:color="auto"/>
              <w:right w:val="single" w:sz="4" w:space="0" w:color="auto"/>
            </w:tcBorders>
            <w:shd w:val="clear" w:color="auto" w:fill="auto"/>
            <w:vAlign w:val="center"/>
            <w:hideMark/>
          </w:tcPr>
          <w:p w14:paraId="0F3177CC"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1083" w:type="dxa"/>
            <w:tcBorders>
              <w:top w:val="nil"/>
              <w:left w:val="nil"/>
              <w:bottom w:val="single" w:sz="4" w:space="0" w:color="auto"/>
              <w:right w:val="single" w:sz="4" w:space="0" w:color="auto"/>
            </w:tcBorders>
            <w:shd w:val="clear" w:color="auto" w:fill="auto"/>
            <w:vAlign w:val="center"/>
            <w:hideMark/>
          </w:tcPr>
          <w:p w14:paraId="77CD7D6F"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1072" w:type="dxa"/>
            <w:tcBorders>
              <w:top w:val="nil"/>
              <w:left w:val="nil"/>
              <w:bottom w:val="single" w:sz="4" w:space="0" w:color="auto"/>
              <w:right w:val="single" w:sz="4" w:space="0" w:color="auto"/>
            </w:tcBorders>
            <w:shd w:val="clear" w:color="auto" w:fill="auto"/>
            <w:vAlign w:val="center"/>
            <w:hideMark/>
          </w:tcPr>
          <w:p w14:paraId="21521199"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596" w:type="dxa"/>
            <w:tcBorders>
              <w:top w:val="nil"/>
              <w:left w:val="nil"/>
              <w:bottom w:val="single" w:sz="4" w:space="0" w:color="auto"/>
              <w:right w:val="single" w:sz="4" w:space="0" w:color="auto"/>
            </w:tcBorders>
            <w:shd w:val="clear" w:color="auto" w:fill="auto"/>
            <w:vAlign w:val="center"/>
            <w:hideMark/>
          </w:tcPr>
          <w:p w14:paraId="6479E13D" w14:textId="559B15FA"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 xml:space="preserve">1/2 </w:t>
            </w:r>
          </w:p>
        </w:tc>
      </w:tr>
      <w:tr w:rsidR="0022722D" w:rsidRPr="00E17B15" w14:paraId="03B3BC4E" w14:textId="77777777" w:rsidTr="0022722D">
        <w:trPr>
          <w:trHeight w:val="20"/>
          <w:jc w:val="center"/>
        </w:trPr>
        <w:tc>
          <w:tcPr>
            <w:tcW w:w="1306" w:type="dxa"/>
            <w:tcBorders>
              <w:top w:val="nil"/>
              <w:left w:val="single" w:sz="4" w:space="0" w:color="auto"/>
              <w:bottom w:val="single" w:sz="4" w:space="0" w:color="auto"/>
              <w:right w:val="single" w:sz="4" w:space="0" w:color="auto"/>
            </w:tcBorders>
            <w:shd w:val="clear" w:color="auto" w:fill="auto"/>
            <w:vAlign w:val="center"/>
            <w:hideMark/>
          </w:tcPr>
          <w:p w14:paraId="75334DA8" w14:textId="77777777" w:rsidR="00C9485A" w:rsidRPr="00E17B15" w:rsidRDefault="00C9485A" w:rsidP="00C9485A">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Cost</w:t>
            </w:r>
          </w:p>
        </w:tc>
        <w:tc>
          <w:tcPr>
            <w:tcW w:w="894" w:type="dxa"/>
            <w:tcBorders>
              <w:top w:val="nil"/>
              <w:left w:val="nil"/>
              <w:bottom w:val="single" w:sz="4" w:space="0" w:color="auto"/>
              <w:right w:val="single" w:sz="4" w:space="0" w:color="auto"/>
            </w:tcBorders>
            <w:shd w:val="clear" w:color="auto" w:fill="auto"/>
            <w:vAlign w:val="center"/>
            <w:hideMark/>
          </w:tcPr>
          <w:p w14:paraId="4C372DCD"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c>
          <w:tcPr>
            <w:tcW w:w="1232" w:type="dxa"/>
            <w:tcBorders>
              <w:top w:val="nil"/>
              <w:left w:val="nil"/>
              <w:bottom w:val="single" w:sz="4" w:space="0" w:color="auto"/>
              <w:right w:val="single" w:sz="4" w:space="0" w:color="auto"/>
            </w:tcBorders>
            <w:shd w:val="clear" w:color="auto" w:fill="auto"/>
            <w:vAlign w:val="center"/>
            <w:hideMark/>
          </w:tcPr>
          <w:p w14:paraId="7BE4F067"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3</w:t>
            </w:r>
          </w:p>
        </w:tc>
        <w:tc>
          <w:tcPr>
            <w:tcW w:w="1383" w:type="dxa"/>
            <w:tcBorders>
              <w:top w:val="nil"/>
              <w:left w:val="nil"/>
              <w:bottom w:val="single" w:sz="4" w:space="0" w:color="auto"/>
              <w:right w:val="single" w:sz="4" w:space="0" w:color="auto"/>
            </w:tcBorders>
            <w:shd w:val="clear" w:color="auto" w:fill="auto"/>
            <w:vAlign w:val="center"/>
            <w:hideMark/>
          </w:tcPr>
          <w:p w14:paraId="18E7A4F1"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1284" w:type="dxa"/>
            <w:tcBorders>
              <w:top w:val="nil"/>
              <w:left w:val="nil"/>
              <w:bottom w:val="single" w:sz="4" w:space="0" w:color="auto"/>
              <w:right w:val="single" w:sz="4" w:space="0" w:color="auto"/>
            </w:tcBorders>
            <w:shd w:val="clear" w:color="auto" w:fill="auto"/>
            <w:vAlign w:val="center"/>
            <w:hideMark/>
          </w:tcPr>
          <w:p w14:paraId="09AF7F68"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3</w:t>
            </w:r>
          </w:p>
        </w:tc>
        <w:tc>
          <w:tcPr>
            <w:tcW w:w="1083" w:type="dxa"/>
            <w:tcBorders>
              <w:top w:val="nil"/>
              <w:left w:val="nil"/>
              <w:bottom w:val="single" w:sz="4" w:space="0" w:color="auto"/>
              <w:right w:val="single" w:sz="4" w:space="0" w:color="auto"/>
            </w:tcBorders>
            <w:shd w:val="clear" w:color="auto" w:fill="auto"/>
            <w:vAlign w:val="center"/>
            <w:hideMark/>
          </w:tcPr>
          <w:p w14:paraId="2CB761B2"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3</w:t>
            </w:r>
          </w:p>
        </w:tc>
        <w:tc>
          <w:tcPr>
            <w:tcW w:w="1072" w:type="dxa"/>
            <w:tcBorders>
              <w:top w:val="nil"/>
              <w:left w:val="nil"/>
              <w:bottom w:val="single" w:sz="4" w:space="0" w:color="auto"/>
              <w:right w:val="single" w:sz="4" w:space="0" w:color="auto"/>
            </w:tcBorders>
            <w:shd w:val="clear" w:color="auto" w:fill="auto"/>
            <w:vAlign w:val="center"/>
            <w:hideMark/>
          </w:tcPr>
          <w:p w14:paraId="122BA3E3"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2</w:t>
            </w:r>
          </w:p>
        </w:tc>
        <w:tc>
          <w:tcPr>
            <w:tcW w:w="596" w:type="dxa"/>
            <w:tcBorders>
              <w:top w:val="nil"/>
              <w:left w:val="nil"/>
              <w:bottom w:val="single" w:sz="4" w:space="0" w:color="auto"/>
              <w:right w:val="single" w:sz="4" w:space="0" w:color="auto"/>
            </w:tcBorders>
            <w:shd w:val="clear" w:color="auto" w:fill="auto"/>
            <w:vAlign w:val="center"/>
            <w:hideMark/>
          </w:tcPr>
          <w:p w14:paraId="2F3AF41D" w14:textId="77777777" w:rsidR="00C9485A" w:rsidRPr="00E17B15" w:rsidRDefault="00C9485A" w:rsidP="00C9485A">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1</w:t>
            </w:r>
          </w:p>
        </w:tc>
      </w:tr>
    </w:tbl>
    <w:p w14:paraId="234EFD45" w14:textId="77777777" w:rsidR="00C9485A" w:rsidRPr="00E17B15" w:rsidRDefault="00C9485A" w:rsidP="00C9485A">
      <w:pPr>
        <w:spacing w:after="120"/>
        <w:rPr>
          <w:rFonts w:ascii="Palatino Linotype" w:hAnsi="Palatino Linotype" w:cs="Times New Roman"/>
          <w:sz w:val="20"/>
          <w:szCs w:val="20"/>
          <w:lang w:val="en-ID"/>
        </w:rPr>
      </w:pPr>
    </w:p>
    <w:p w14:paraId="637757D6" w14:textId="3B429457" w:rsidR="00195AA5" w:rsidRPr="00E17B15" w:rsidRDefault="009E44D3" w:rsidP="00C47A89">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The criteria are presented in the initial row and column of the tabular representation. The participants are requested to conduct a comparative analysis of each criterion with one another and express their preference for the more significant criterion. Participants may be requested to evaluate and contrast the significance of "Course Quality" and "Instructor Experience" and express their opinion on whether "Course Quality" is more significant, equally significant, or less significant than "Instructor Experience." The values depicted in the table denote the weights assigned to each criterion, with a value of "1" signifying equivalent significance, while values exceeding or falling short of "1" indicate comparative importance.</w:t>
      </w:r>
    </w:p>
    <w:p w14:paraId="58658D3D" w14:textId="62096152" w:rsidR="00C9485A" w:rsidRPr="00E17B15" w:rsidRDefault="00EE6E8F" w:rsidP="00E21784">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Upon completion of the pairwise comparison method, the weights assigned to each criterion can be computed by determining the geometric mean of the values present in each respective row. Subsequently, the weights obtained can be employed within the framework of the ELECTRE approach to prioritize the online courses according to their appropriateness with regard to the requirements and anticipations of the learners.</w:t>
      </w:r>
    </w:p>
    <w:p w14:paraId="3D3541F3" w14:textId="61474F34" w:rsidR="00EB23E3" w:rsidRPr="00E17B15" w:rsidRDefault="00DA2CD3" w:rsidP="00EB23E3">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The ELECTRE method can be employed to assess the appropriateness of online courses by utilizing the criteria and weights established via the pairwise comparison technique. The methodology encompasses a sequence of calculations that juxtapose every course against a collection of optimal and suboptimal resolutions, contingent upon the established standards and corresponding magnitudes. The optimal solution is the most desirable course of action that meets all the established criteria, whereas the non-optimal solution is the least desirable course of action that fails to meet any of the criteria. The utilization of ideal and anti-ideal solutions as benchmarks is a common practice in evaluating the performance of each alternative, in this instance, each online course, in relation to a predetermined set of criteria. The optimal solution is the one that exhibits the highest level of performance that </w:t>
      </w:r>
      <w:proofErr w:type="spellStart"/>
      <w:r w:rsidRPr="00E17B15">
        <w:rPr>
          <w:rFonts w:ascii="Palatino Linotype" w:hAnsi="Palatino Linotype" w:cs="Times New Roman"/>
          <w:sz w:val="20"/>
          <w:szCs w:val="20"/>
          <w:lang w:val="en-ID"/>
        </w:rPr>
        <w:t>fulfills</w:t>
      </w:r>
      <w:proofErr w:type="spellEnd"/>
      <w:r w:rsidRPr="00E17B15">
        <w:rPr>
          <w:rFonts w:ascii="Palatino Linotype" w:hAnsi="Palatino Linotype" w:cs="Times New Roman"/>
          <w:sz w:val="20"/>
          <w:szCs w:val="20"/>
          <w:lang w:val="en-ID"/>
        </w:rPr>
        <w:t xml:space="preserve"> all the established criteria, whereas the counter-optimal solution is the one that exhibits the lowest level of performance that fails to meet any of the established criteria.</w:t>
      </w:r>
    </w:p>
    <w:p w14:paraId="38D89049" w14:textId="4997C335" w:rsidR="00DA4DFA" w:rsidRPr="00E17B15" w:rsidRDefault="00E96095" w:rsidP="00EB23E3">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In order to ascertain the optimal and suboptimal solutions, the evaluation of each criterion is performed by computing the score of every alternative (i.e., online course). Subsequently, the highest and lowest scores among all options are determined for each criterion, correspondingly.</w:t>
      </w:r>
    </w:p>
    <w:p w14:paraId="366B9309" w14:textId="77777777" w:rsidR="00327224" w:rsidRPr="00E17B15" w:rsidRDefault="00327224" w:rsidP="00875949">
      <w:pPr>
        <w:spacing w:after="0"/>
        <w:jc w:val="both"/>
        <w:rPr>
          <w:rFonts w:ascii="Palatino Linotype" w:hAnsi="Palatino Linotype" w:cs="Times New Roman"/>
          <w:sz w:val="20"/>
          <w:szCs w:val="20"/>
          <w:lang w:val="en-ID"/>
        </w:rPr>
      </w:pPr>
    </w:p>
    <w:p w14:paraId="227D12A0" w14:textId="70AE4497" w:rsidR="00875949" w:rsidRPr="00E17B15" w:rsidRDefault="00875949" w:rsidP="00875949">
      <w:pPr>
        <w:spacing w:after="0"/>
        <w:jc w:val="center"/>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Table 3. </w:t>
      </w:r>
      <w:r w:rsidR="0041629E" w:rsidRPr="00E17B15">
        <w:rPr>
          <w:rFonts w:ascii="Palatino Linotype" w:hAnsi="Palatino Linotype" w:cs="Times New Roman"/>
          <w:sz w:val="20"/>
          <w:szCs w:val="20"/>
          <w:lang w:val="en-ID"/>
        </w:rPr>
        <w:t>Ideal and Anti-Ideal Solution</w:t>
      </w:r>
    </w:p>
    <w:tbl>
      <w:tblPr>
        <w:tblW w:w="8287" w:type="dxa"/>
        <w:jc w:val="center"/>
        <w:tblCellMar>
          <w:left w:w="28" w:type="dxa"/>
          <w:right w:w="28" w:type="dxa"/>
        </w:tblCellMar>
        <w:tblLook w:val="04A0" w:firstRow="1" w:lastRow="0" w:firstColumn="1" w:lastColumn="0" w:noHBand="0" w:noVBand="1"/>
      </w:tblPr>
      <w:tblGrid>
        <w:gridCol w:w="2017"/>
        <w:gridCol w:w="896"/>
        <w:gridCol w:w="871"/>
        <w:gridCol w:w="872"/>
        <w:gridCol w:w="880"/>
        <w:gridCol w:w="875"/>
        <w:gridCol w:w="938"/>
        <w:gridCol w:w="938"/>
      </w:tblGrid>
      <w:tr w:rsidR="004255E9" w:rsidRPr="00E17B15" w14:paraId="64F2EB55" w14:textId="77777777" w:rsidTr="004255E9">
        <w:trPr>
          <w:trHeight w:val="20"/>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0FB3E" w14:textId="77777777" w:rsidR="00A65240" w:rsidRPr="00E17B15" w:rsidRDefault="00A65240" w:rsidP="00996DB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Criteria</w:t>
            </w:r>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3A4338C3" w14:textId="77777777" w:rsidR="00A65240" w:rsidRPr="00E17B15" w:rsidRDefault="00A65240" w:rsidP="00996DB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Score for Course A</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3FE5765E" w14:textId="77777777" w:rsidR="00A65240" w:rsidRPr="00E17B15" w:rsidRDefault="00A65240" w:rsidP="00996DB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Score for Course B</w:t>
            </w:r>
          </w:p>
        </w:tc>
        <w:tc>
          <w:tcPr>
            <w:tcW w:w="872" w:type="dxa"/>
            <w:tcBorders>
              <w:top w:val="single" w:sz="4" w:space="0" w:color="auto"/>
              <w:left w:val="nil"/>
              <w:bottom w:val="single" w:sz="4" w:space="0" w:color="auto"/>
              <w:right w:val="single" w:sz="4" w:space="0" w:color="auto"/>
            </w:tcBorders>
            <w:shd w:val="clear" w:color="auto" w:fill="auto"/>
            <w:vAlign w:val="center"/>
            <w:hideMark/>
          </w:tcPr>
          <w:p w14:paraId="60FAD2B5" w14:textId="77777777" w:rsidR="00A65240" w:rsidRPr="00E17B15" w:rsidRDefault="00A65240" w:rsidP="00996DB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Score for Course C</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11724C70" w14:textId="77777777" w:rsidR="00A65240" w:rsidRPr="00E17B15" w:rsidRDefault="00A65240" w:rsidP="00996DB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Score for Course D</w:t>
            </w:r>
          </w:p>
        </w:tc>
        <w:tc>
          <w:tcPr>
            <w:tcW w:w="875" w:type="dxa"/>
            <w:tcBorders>
              <w:top w:val="single" w:sz="4" w:space="0" w:color="auto"/>
              <w:left w:val="nil"/>
              <w:bottom w:val="single" w:sz="4" w:space="0" w:color="auto"/>
              <w:right w:val="single" w:sz="4" w:space="0" w:color="auto"/>
            </w:tcBorders>
            <w:shd w:val="clear" w:color="auto" w:fill="auto"/>
            <w:vAlign w:val="center"/>
            <w:hideMark/>
          </w:tcPr>
          <w:p w14:paraId="68EB20A1" w14:textId="77777777" w:rsidR="00A65240" w:rsidRPr="00E17B15" w:rsidRDefault="00A65240" w:rsidP="00996DB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Score for Course E</w:t>
            </w:r>
          </w:p>
        </w:tc>
        <w:tc>
          <w:tcPr>
            <w:tcW w:w="938" w:type="dxa"/>
            <w:tcBorders>
              <w:top w:val="single" w:sz="4" w:space="0" w:color="auto"/>
              <w:left w:val="nil"/>
              <w:bottom w:val="single" w:sz="4" w:space="0" w:color="auto"/>
              <w:right w:val="single" w:sz="4" w:space="0" w:color="auto"/>
            </w:tcBorders>
            <w:shd w:val="clear" w:color="auto" w:fill="auto"/>
            <w:vAlign w:val="center"/>
            <w:hideMark/>
          </w:tcPr>
          <w:p w14:paraId="1F4FA651" w14:textId="77777777" w:rsidR="00A65240" w:rsidRPr="00E17B15" w:rsidRDefault="00A65240" w:rsidP="00996DB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Ideal Solution</w:t>
            </w:r>
          </w:p>
        </w:tc>
        <w:tc>
          <w:tcPr>
            <w:tcW w:w="938" w:type="dxa"/>
            <w:tcBorders>
              <w:top w:val="single" w:sz="4" w:space="0" w:color="auto"/>
              <w:left w:val="nil"/>
              <w:bottom w:val="single" w:sz="4" w:space="0" w:color="auto"/>
              <w:right w:val="single" w:sz="4" w:space="0" w:color="auto"/>
            </w:tcBorders>
            <w:shd w:val="clear" w:color="auto" w:fill="auto"/>
            <w:vAlign w:val="center"/>
            <w:hideMark/>
          </w:tcPr>
          <w:p w14:paraId="4DAC457F" w14:textId="77777777" w:rsidR="00A65240" w:rsidRPr="00E17B15" w:rsidRDefault="00A65240" w:rsidP="00996DBD">
            <w:pPr>
              <w:spacing w:after="0" w:line="240" w:lineRule="auto"/>
              <w:jc w:val="center"/>
              <w:rPr>
                <w:rFonts w:ascii="Palatino Linotype" w:eastAsia="Times New Roman" w:hAnsi="Palatino Linotype" w:cs="Times New Roman"/>
                <w:b/>
                <w:bCs/>
                <w:color w:val="374151"/>
                <w:sz w:val="20"/>
                <w:szCs w:val="20"/>
                <w:lang w:val="en-ID" w:eastAsia="zh-CN"/>
              </w:rPr>
            </w:pPr>
            <w:r w:rsidRPr="00E17B15">
              <w:rPr>
                <w:rFonts w:ascii="Palatino Linotype" w:eastAsia="Times New Roman" w:hAnsi="Palatino Linotype" w:cs="Times New Roman"/>
                <w:b/>
                <w:bCs/>
                <w:color w:val="374151"/>
                <w:sz w:val="20"/>
                <w:szCs w:val="20"/>
                <w:lang w:val="en-ID" w:eastAsia="zh-CN"/>
              </w:rPr>
              <w:t>Anti-Ideal Solution</w:t>
            </w:r>
          </w:p>
        </w:tc>
      </w:tr>
      <w:tr w:rsidR="004255E9" w:rsidRPr="00E17B15" w14:paraId="45ADF041" w14:textId="77777777" w:rsidTr="004255E9">
        <w:trPr>
          <w:trHeight w:val="20"/>
          <w:jc w:val="center"/>
        </w:trPr>
        <w:tc>
          <w:tcPr>
            <w:tcW w:w="2017" w:type="dxa"/>
            <w:tcBorders>
              <w:top w:val="nil"/>
              <w:left w:val="single" w:sz="4" w:space="0" w:color="auto"/>
              <w:bottom w:val="single" w:sz="4" w:space="0" w:color="auto"/>
              <w:right w:val="single" w:sz="4" w:space="0" w:color="auto"/>
            </w:tcBorders>
            <w:shd w:val="clear" w:color="auto" w:fill="auto"/>
            <w:vAlign w:val="center"/>
            <w:hideMark/>
          </w:tcPr>
          <w:p w14:paraId="563AFFAF" w14:textId="77777777" w:rsidR="00A65240" w:rsidRPr="00E17B15" w:rsidRDefault="00A65240" w:rsidP="00A65240">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Course Quality</w:t>
            </w:r>
          </w:p>
        </w:tc>
        <w:tc>
          <w:tcPr>
            <w:tcW w:w="896" w:type="dxa"/>
            <w:tcBorders>
              <w:top w:val="nil"/>
              <w:left w:val="nil"/>
              <w:bottom w:val="single" w:sz="4" w:space="0" w:color="auto"/>
              <w:right w:val="single" w:sz="4" w:space="0" w:color="auto"/>
            </w:tcBorders>
            <w:shd w:val="clear" w:color="auto" w:fill="auto"/>
            <w:vAlign w:val="center"/>
            <w:hideMark/>
          </w:tcPr>
          <w:p w14:paraId="306FB451"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871" w:type="dxa"/>
            <w:tcBorders>
              <w:top w:val="nil"/>
              <w:left w:val="nil"/>
              <w:bottom w:val="single" w:sz="4" w:space="0" w:color="auto"/>
              <w:right w:val="single" w:sz="4" w:space="0" w:color="auto"/>
            </w:tcBorders>
            <w:shd w:val="clear" w:color="auto" w:fill="auto"/>
            <w:vAlign w:val="center"/>
            <w:hideMark/>
          </w:tcPr>
          <w:p w14:paraId="486555CD"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872" w:type="dxa"/>
            <w:tcBorders>
              <w:top w:val="nil"/>
              <w:left w:val="nil"/>
              <w:bottom w:val="single" w:sz="4" w:space="0" w:color="auto"/>
              <w:right w:val="single" w:sz="4" w:space="0" w:color="auto"/>
            </w:tcBorders>
            <w:shd w:val="clear" w:color="auto" w:fill="auto"/>
            <w:vAlign w:val="center"/>
            <w:hideMark/>
          </w:tcPr>
          <w:p w14:paraId="72997329"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880" w:type="dxa"/>
            <w:tcBorders>
              <w:top w:val="nil"/>
              <w:left w:val="nil"/>
              <w:bottom w:val="single" w:sz="4" w:space="0" w:color="auto"/>
              <w:right w:val="single" w:sz="4" w:space="0" w:color="auto"/>
            </w:tcBorders>
            <w:shd w:val="clear" w:color="auto" w:fill="auto"/>
            <w:vAlign w:val="center"/>
            <w:hideMark/>
          </w:tcPr>
          <w:p w14:paraId="03E3D5FF"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875" w:type="dxa"/>
            <w:tcBorders>
              <w:top w:val="nil"/>
              <w:left w:val="nil"/>
              <w:bottom w:val="single" w:sz="4" w:space="0" w:color="auto"/>
              <w:right w:val="single" w:sz="4" w:space="0" w:color="auto"/>
            </w:tcBorders>
            <w:shd w:val="clear" w:color="auto" w:fill="auto"/>
            <w:vAlign w:val="center"/>
            <w:hideMark/>
          </w:tcPr>
          <w:p w14:paraId="569552E7"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938" w:type="dxa"/>
            <w:tcBorders>
              <w:top w:val="nil"/>
              <w:left w:val="nil"/>
              <w:bottom w:val="single" w:sz="4" w:space="0" w:color="auto"/>
              <w:right w:val="single" w:sz="4" w:space="0" w:color="auto"/>
            </w:tcBorders>
            <w:shd w:val="clear" w:color="auto" w:fill="auto"/>
            <w:vAlign w:val="center"/>
            <w:hideMark/>
          </w:tcPr>
          <w:p w14:paraId="399A5BC2"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938" w:type="dxa"/>
            <w:tcBorders>
              <w:top w:val="nil"/>
              <w:left w:val="nil"/>
              <w:bottom w:val="single" w:sz="4" w:space="0" w:color="auto"/>
              <w:right w:val="single" w:sz="4" w:space="0" w:color="auto"/>
            </w:tcBorders>
            <w:shd w:val="clear" w:color="auto" w:fill="auto"/>
            <w:vAlign w:val="center"/>
            <w:hideMark/>
          </w:tcPr>
          <w:p w14:paraId="71BEF445"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r>
      <w:tr w:rsidR="004255E9" w:rsidRPr="00E17B15" w14:paraId="4F29D663" w14:textId="77777777" w:rsidTr="004255E9">
        <w:trPr>
          <w:trHeight w:val="20"/>
          <w:jc w:val="center"/>
        </w:trPr>
        <w:tc>
          <w:tcPr>
            <w:tcW w:w="2017" w:type="dxa"/>
            <w:tcBorders>
              <w:top w:val="nil"/>
              <w:left w:val="single" w:sz="4" w:space="0" w:color="auto"/>
              <w:bottom w:val="single" w:sz="4" w:space="0" w:color="auto"/>
              <w:right w:val="single" w:sz="4" w:space="0" w:color="auto"/>
            </w:tcBorders>
            <w:shd w:val="clear" w:color="auto" w:fill="auto"/>
            <w:vAlign w:val="center"/>
            <w:hideMark/>
          </w:tcPr>
          <w:p w14:paraId="3CE6CAC0" w14:textId="77777777" w:rsidR="00A65240" w:rsidRPr="00E17B15" w:rsidRDefault="00A65240" w:rsidP="00A65240">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Instructor Experience</w:t>
            </w:r>
          </w:p>
        </w:tc>
        <w:tc>
          <w:tcPr>
            <w:tcW w:w="896" w:type="dxa"/>
            <w:tcBorders>
              <w:top w:val="nil"/>
              <w:left w:val="nil"/>
              <w:bottom w:val="single" w:sz="4" w:space="0" w:color="auto"/>
              <w:right w:val="single" w:sz="4" w:space="0" w:color="auto"/>
            </w:tcBorders>
            <w:shd w:val="clear" w:color="auto" w:fill="auto"/>
            <w:vAlign w:val="center"/>
            <w:hideMark/>
          </w:tcPr>
          <w:p w14:paraId="7CFCF91E"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871" w:type="dxa"/>
            <w:tcBorders>
              <w:top w:val="nil"/>
              <w:left w:val="nil"/>
              <w:bottom w:val="single" w:sz="4" w:space="0" w:color="auto"/>
              <w:right w:val="single" w:sz="4" w:space="0" w:color="auto"/>
            </w:tcBorders>
            <w:shd w:val="clear" w:color="auto" w:fill="auto"/>
            <w:vAlign w:val="center"/>
            <w:hideMark/>
          </w:tcPr>
          <w:p w14:paraId="0FEDFE25"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872" w:type="dxa"/>
            <w:tcBorders>
              <w:top w:val="nil"/>
              <w:left w:val="nil"/>
              <w:bottom w:val="single" w:sz="4" w:space="0" w:color="auto"/>
              <w:right w:val="single" w:sz="4" w:space="0" w:color="auto"/>
            </w:tcBorders>
            <w:shd w:val="clear" w:color="auto" w:fill="auto"/>
            <w:vAlign w:val="center"/>
            <w:hideMark/>
          </w:tcPr>
          <w:p w14:paraId="383B89DD"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880" w:type="dxa"/>
            <w:tcBorders>
              <w:top w:val="nil"/>
              <w:left w:val="nil"/>
              <w:bottom w:val="single" w:sz="4" w:space="0" w:color="auto"/>
              <w:right w:val="single" w:sz="4" w:space="0" w:color="auto"/>
            </w:tcBorders>
            <w:shd w:val="clear" w:color="auto" w:fill="auto"/>
            <w:vAlign w:val="center"/>
            <w:hideMark/>
          </w:tcPr>
          <w:p w14:paraId="5F24B481"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875" w:type="dxa"/>
            <w:tcBorders>
              <w:top w:val="nil"/>
              <w:left w:val="nil"/>
              <w:bottom w:val="single" w:sz="4" w:space="0" w:color="auto"/>
              <w:right w:val="single" w:sz="4" w:space="0" w:color="auto"/>
            </w:tcBorders>
            <w:shd w:val="clear" w:color="auto" w:fill="auto"/>
            <w:vAlign w:val="center"/>
            <w:hideMark/>
          </w:tcPr>
          <w:p w14:paraId="1E2DB52C"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938" w:type="dxa"/>
            <w:tcBorders>
              <w:top w:val="nil"/>
              <w:left w:val="nil"/>
              <w:bottom w:val="single" w:sz="4" w:space="0" w:color="auto"/>
              <w:right w:val="single" w:sz="4" w:space="0" w:color="auto"/>
            </w:tcBorders>
            <w:shd w:val="clear" w:color="auto" w:fill="auto"/>
            <w:vAlign w:val="center"/>
            <w:hideMark/>
          </w:tcPr>
          <w:p w14:paraId="5A8C1992"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938" w:type="dxa"/>
            <w:tcBorders>
              <w:top w:val="nil"/>
              <w:left w:val="nil"/>
              <w:bottom w:val="single" w:sz="4" w:space="0" w:color="auto"/>
              <w:right w:val="single" w:sz="4" w:space="0" w:color="auto"/>
            </w:tcBorders>
            <w:shd w:val="clear" w:color="auto" w:fill="auto"/>
            <w:vAlign w:val="center"/>
            <w:hideMark/>
          </w:tcPr>
          <w:p w14:paraId="4BBDE5E8"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r>
      <w:tr w:rsidR="004255E9" w:rsidRPr="00E17B15" w14:paraId="54F31305" w14:textId="77777777" w:rsidTr="004255E9">
        <w:trPr>
          <w:trHeight w:val="20"/>
          <w:jc w:val="center"/>
        </w:trPr>
        <w:tc>
          <w:tcPr>
            <w:tcW w:w="2017" w:type="dxa"/>
            <w:tcBorders>
              <w:top w:val="nil"/>
              <w:left w:val="single" w:sz="4" w:space="0" w:color="auto"/>
              <w:bottom w:val="single" w:sz="4" w:space="0" w:color="auto"/>
              <w:right w:val="single" w:sz="4" w:space="0" w:color="auto"/>
            </w:tcBorders>
            <w:shd w:val="clear" w:color="auto" w:fill="auto"/>
            <w:vAlign w:val="center"/>
            <w:hideMark/>
          </w:tcPr>
          <w:p w14:paraId="13127D64" w14:textId="77777777" w:rsidR="00A65240" w:rsidRPr="00E17B15" w:rsidRDefault="00A65240" w:rsidP="00A65240">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Accreditation</w:t>
            </w:r>
          </w:p>
        </w:tc>
        <w:tc>
          <w:tcPr>
            <w:tcW w:w="896" w:type="dxa"/>
            <w:tcBorders>
              <w:top w:val="nil"/>
              <w:left w:val="nil"/>
              <w:bottom w:val="single" w:sz="4" w:space="0" w:color="auto"/>
              <w:right w:val="single" w:sz="4" w:space="0" w:color="auto"/>
            </w:tcBorders>
            <w:shd w:val="clear" w:color="auto" w:fill="auto"/>
            <w:vAlign w:val="center"/>
            <w:hideMark/>
          </w:tcPr>
          <w:p w14:paraId="47612E9C"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871" w:type="dxa"/>
            <w:tcBorders>
              <w:top w:val="nil"/>
              <w:left w:val="nil"/>
              <w:bottom w:val="single" w:sz="4" w:space="0" w:color="auto"/>
              <w:right w:val="single" w:sz="4" w:space="0" w:color="auto"/>
            </w:tcBorders>
            <w:shd w:val="clear" w:color="auto" w:fill="auto"/>
            <w:vAlign w:val="center"/>
            <w:hideMark/>
          </w:tcPr>
          <w:p w14:paraId="7645E2DF"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872" w:type="dxa"/>
            <w:tcBorders>
              <w:top w:val="nil"/>
              <w:left w:val="nil"/>
              <w:bottom w:val="single" w:sz="4" w:space="0" w:color="auto"/>
              <w:right w:val="single" w:sz="4" w:space="0" w:color="auto"/>
            </w:tcBorders>
            <w:shd w:val="clear" w:color="auto" w:fill="auto"/>
            <w:vAlign w:val="center"/>
            <w:hideMark/>
          </w:tcPr>
          <w:p w14:paraId="721D7ACC"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880" w:type="dxa"/>
            <w:tcBorders>
              <w:top w:val="nil"/>
              <w:left w:val="nil"/>
              <w:bottom w:val="single" w:sz="4" w:space="0" w:color="auto"/>
              <w:right w:val="single" w:sz="4" w:space="0" w:color="auto"/>
            </w:tcBorders>
            <w:shd w:val="clear" w:color="auto" w:fill="auto"/>
            <w:vAlign w:val="center"/>
            <w:hideMark/>
          </w:tcPr>
          <w:p w14:paraId="6FFCD2A0"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875" w:type="dxa"/>
            <w:tcBorders>
              <w:top w:val="nil"/>
              <w:left w:val="nil"/>
              <w:bottom w:val="single" w:sz="4" w:space="0" w:color="auto"/>
              <w:right w:val="single" w:sz="4" w:space="0" w:color="auto"/>
            </w:tcBorders>
            <w:shd w:val="clear" w:color="auto" w:fill="auto"/>
            <w:vAlign w:val="center"/>
            <w:hideMark/>
          </w:tcPr>
          <w:p w14:paraId="51294154"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938" w:type="dxa"/>
            <w:tcBorders>
              <w:top w:val="nil"/>
              <w:left w:val="nil"/>
              <w:bottom w:val="single" w:sz="4" w:space="0" w:color="auto"/>
              <w:right w:val="single" w:sz="4" w:space="0" w:color="auto"/>
            </w:tcBorders>
            <w:shd w:val="clear" w:color="auto" w:fill="auto"/>
            <w:vAlign w:val="center"/>
            <w:hideMark/>
          </w:tcPr>
          <w:p w14:paraId="36BC2170"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938" w:type="dxa"/>
            <w:tcBorders>
              <w:top w:val="nil"/>
              <w:left w:val="nil"/>
              <w:bottom w:val="single" w:sz="4" w:space="0" w:color="auto"/>
              <w:right w:val="single" w:sz="4" w:space="0" w:color="auto"/>
            </w:tcBorders>
            <w:shd w:val="clear" w:color="auto" w:fill="auto"/>
            <w:vAlign w:val="center"/>
            <w:hideMark/>
          </w:tcPr>
          <w:p w14:paraId="6A5B8B12"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r>
      <w:tr w:rsidR="004255E9" w:rsidRPr="00E17B15" w14:paraId="600AF39B" w14:textId="77777777" w:rsidTr="004255E9">
        <w:trPr>
          <w:trHeight w:val="20"/>
          <w:jc w:val="center"/>
        </w:trPr>
        <w:tc>
          <w:tcPr>
            <w:tcW w:w="2017" w:type="dxa"/>
            <w:tcBorders>
              <w:top w:val="nil"/>
              <w:left w:val="single" w:sz="4" w:space="0" w:color="auto"/>
              <w:bottom w:val="single" w:sz="4" w:space="0" w:color="auto"/>
              <w:right w:val="single" w:sz="4" w:space="0" w:color="auto"/>
            </w:tcBorders>
            <w:shd w:val="clear" w:color="auto" w:fill="auto"/>
            <w:vAlign w:val="center"/>
            <w:hideMark/>
          </w:tcPr>
          <w:p w14:paraId="0C2D8CB9" w14:textId="77777777" w:rsidR="00A65240" w:rsidRPr="00E17B15" w:rsidRDefault="00A65240" w:rsidP="00A65240">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Student Engagement</w:t>
            </w:r>
          </w:p>
        </w:tc>
        <w:tc>
          <w:tcPr>
            <w:tcW w:w="896" w:type="dxa"/>
            <w:tcBorders>
              <w:top w:val="nil"/>
              <w:left w:val="nil"/>
              <w:bottom w:val="single" w:sz="4" w:space="0" w:color="auto"/>
              <w:right w:val="single" w:sz="4" w:space="0" w:color="auto"/>
            </w:tcBorders>
            <w:shd w:val="clear" w:color="auto" w:fill="auto"/>
            <w:vAlign w:val="center"/>
            <w:hideMark/>
          </w:tcPr>
          <w:p w14:paraId="4A7C49E2"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871" w:type="dxa"/>
            <w:tcBorders>
              <w:top w:val="nil"/>
              <w:left w:val="nil"/>
              <w:bottom w:val="single" w:sz="4" w:space="0" w:color="auto"/>
              <w:right w:val="single" w:sz="4" w:space="0" w:color="auto"/>
            </w:tcBorders>
            <w:shd w:val="clear" w:color="auto" w:fill="auto"/>
            <w:vAlign w:val="center"/>
            <w:hideMark/>
          </w:tcPr>
          <w:p w14:paraId="1D2B312E"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872" w:type="dxa"/>
            <w:tcBorders>
              <w:top w:val="nil"/>
              <w:left w:val="nil"/>
              <w:bottom w:val="single" w:sz="4" w:space="0" w:color="auto"/>
              <w:right w:val="single" w:sz="4" w:space="0" w:color="auto"/>
            </w:tcBorders>
            <w:shd w:val="clear" w:color="auto" w:fill="auto"/>
            <w:vAlign w:val="center"/>
            <w:hideMark/>
          </w:tcPr>
          <w:p w14:paraId="1D0A6F87"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880" w:type="dxa"/>
            <w:tcBorders>
              <w:top w:val="nil"/>
              <w:left w:val="nil"/>
              <w:bottom w:val="single" w:sz="4" w:space="0" w:color="auto"/>
              <w:right w:val="single" w:sz="4" w:space="0" w:color="auto"/>
            </w:tcBorders>
            <w:shd w:val="clear" w:color="auto" w:fill="auto"/>
            <w:vAlign w:val="center"/>
            <w:hideMark/>
          </w:tcPr>
          <w:p w14:paraId="34656243"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875" w:type="dxa"/>
            <w:tcBorders>
              <w:top w:val="nil"/>
              <w:left w:val="nil"/>
              <w:bottom w:val="single" w:sz="4" w:space="0" w:color="auto"/>
              <w:right w:val="single" w:sz="4" w:space="0" w:color="auto"/>
            </w:tcBorders>
            <w:shd w:val="clear" w:color="auto" w:fill="auto"/>
            <w:vAlign w:val="center"/>
            <w:hideMark/>
          </w:tcPr>
          <w:p w14:paraId="30778479"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938" w:type="dxa"/>
            <w:tcBorders>
              <w:top w:val="nil"/>
              <w:left w:val="nil"/>
              <w:bottom w:val="single" w:sz="4" w:space="0" w:color="auto"/>
              <w:right w:val="single" w:sz="4" w:space="0" w:color="auto"/>
            </w:tcBorders>
            <w:shd w:val="clear" w:color="auto" w:fill="auto"/>
            <w:vAlign w:val="center"/>
            <w:hideMark/>
          </w:tcPr>
          <w:p w14:paraId="7421F184"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938" w:type="dxa"/>
            <w:tcBorders>
              <w:top w:val="nil"/>
              <w:left w:val="nil"/>
              <w:bottom w:val="single" w:sz="4" w:space="0" w:color="auto"/>
              <w:right w:val="single" w:sz="4" w:space="0" w:color="auto"/>
            </w:tcBorders>
            <w:shd w:val="clear" w:color="auto" w:fill="auto"/>
            <w:vAlign w:val="center"/>
            <w:hideMark/>
          </w:tcPr>
          <w:p w14:paraId="553B53CE"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r>
      <w:tr w:rsidR="004255E9" w:rsidRPr="00E17B15" w14:paraId="1C142480" w14:textId="77777777" w:rsidTr="004255E9">
        <w:trPr>
          <w:trHeight w:val="20"/>
          <w:jc w:val="center"/>
        </w:trPr>
        <w:tc>
          <w:tcPr>
            <w:tcW w:w="2017" w:type="dxa"/>
            <w:tcBorders>
              <w:top w:val="nil"/>
              <w:left w:val="single" w:sz="4" w:space="0" w:color="auto"/>
              <w:bottom w:val="single" w:sz="4" w:space="0" w:color="auto"/>
              <w:right w:val="single" w:sz="4" w:space="0" w:color="auto"/>
            </w:tcBorders>
            <w:shd w:val="clear" w:color="auto" w:fill="auto"/>
            <w:vAlign w:val="center"/>
            <w:hideMark/>
          </w:tcPr>
          <w:p w14:paraId="1F305F1F" w14:textId="77777777" w:rsidR="00A65240" w:rsidRPr="00E17B15" w:rsidRDefault="00A65240" w:rsidP="00A65240">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Flexibility</w:t>
            </w:r>
          </w:p>
        </w:tc>
        <w:tc>
          <w:tcPr>
            <w:tcW w:w="896" w:type="dxa"/>
            <w:tcBorders>
              <w:top w:val="nil"/>
              <w:left w:val="nil"/>
              <w:bottom w:val="single" w:sz="4" w:space="0" w:color="auto"/>
              <w:right w:val="single" w:sz="4" w:space="0" w:color="auto"/>
            </w:tcBorders>
            <w:shd w:val="clear" w:color="auto" w:fill="auto"/>
            <w:vAlign w:val="center"/>
            <w:hideMark/>
          </w:tcPr>
          <w:p w14:paraId="1DBDEBA0"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871" w:type="dxa"/>
            <w:tcBorders>
              <w:top w:val="nil"/>
              <w:left w:val="nil"/>
              <w:bottom w:val="single" w:sz="4" w:space="0" w:color="auto"/>
              <w:right w:val="single" w:sz="4" w:space="0" w:color="auto"/>
            </w:tcBorders>
            <w:shd w:val="clear" w:color="auto" w:fill="auto"/>
            <w:vAlign w:val="center"/>
            <w:hideMark/>
          </w:tcPr>
          <w:p w14:paraId="1A0517EB"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872" w:type="dxa"/>
            <w:tcBorders>
              <w:top w:val="nil"/>
              <w:left w:val="nil"/>
              <w:bottom w:val="single" w:sz="4" w:space="0" w:color="auto"/>
              <w:right w:val="single" w:sz="4" w:space="0" w:color="auto"/>
            </w:tcBorders>
            <w:shd w:val="clear" w:color="auto" w:fill="auto"/>
            <w:vAlign w:val="center"/>
            <w:hideMark/>
          </w:tcPr>
          <w:p w14:paraId="50734E17"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880" w:type="dxa"/>
            <w:tcBorders>
              <w:top w:val="nil"/>
              <w:left w:val="nil"/>
              <w:bottom w:val="single" w:sz="4" w:space="0" w:color="auto"/>
              <w:right w:val="single" w:sz="4" w:space="0" w:color="auto"/>
            </w:tcBorders>
            <w:shd w:val="clear" w:color="auto" w:fill="auto"/>
            <w:vAlign w:val="center"/>
            <w:hideMark/>
          </w:tcPr>
          <w:p w14:paraId="72879946"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875" w:type="dxa"/>
            <w:tcBorders>
              <w:top w:val="nil"/>
              <w:left w:val="nil"/>
              <w:bottom w:val="single" w:sz="4" w:space="0" w:color="auto"/>
              <w:right w:val="single" w:sz="4" w:space="0" w:color="auto"/>
            </w:tcBorders>
            <w:shd w:val="clear" w:color="auto" w:fill="auto"/>
            <w:vAlign w:val="center"/>
            <w:hideMark/>
          </w:tcPr>
          <w:p w14:paraId="57101939"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938" w:type="dxa"/>
            <w:tcBorders>
              <w:top w:val="nil"/>
              <w:left w:val="nil"/>
              <w:bottom w:val="single" w:sz="4" w:space="0" w:color="auto"/>
              <w:right w:val="single" w:sz="4" w:space="0" w:color="auto"/>
            </w:tcBorders>
            <w:shd w:val="clear" w:color="auto" w:fill="auto"/>
            <w:vAlign w:val="center"/>
            <w:hideMark/>
          </w:tcPr>
          <w:p w14:paraId="1FA49738"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938" w:type="dxa"/>
            <w:tcBorders>
              <w:top w:val="nil"/>
              <w:left w:val="nil"/>
              <w:bottom w:val="single" w:sz="4" w:space="0" w:color="auto"/>
              <w:right w:val="single" w:sz="4" w:space="0" w:color="auto"/>
            </w:tcBorders>
            <w:shd w:val="clear" w:color="auto" w:fill="auto"/>
            <w:vAlign w:val="center"/>
            <w:hideMark/>
          </w:tcPr>
          <w:p w14:paraId="084A0E52"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r>
      <w:tr w:rsidR="004255E9" w:rsidRPr="00E17B15" w14:paraId="0C9970BE" w14:textId="77777777" w:rsidTr="004255E9">
        <w:trPr>
          <w:trHeight w:val="20"/>
          <w:jc w:val="center"/>
        </w:trPr>
        <w:tc>
          <w:tcPr>
            <w:tcW w:w="2017" w:type="dxa"/>
            <w:tcBorders>
              <w:top w:val="nil"/>
              <w:left w:val="single" w:sz="4" w:space="0" w:color="auto"/>
              <w:bottom w:val="single" w:sz="4" w:space="0" w:color="auto"/>
              <w:right w:val="single" w:sz="4" w:space="0" w:color="auto"/>
            </w:tcBorders>
            <w:shd w:val="clear" w:color="auto" w:fill="auto"/>
            <w:vAlign w:val="center"/>
            <w:hideMark/>
          </w:tcPr>
          <w:p w14:paraId="4BC90BA1" w14:textId="77777777" w:rsidR="00A65240" w:rsidRPr="00E17B15" w:rsidRDefault="00A65240" w:rsidP="00A65240">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Technical Support</w:t>
            </w:r>
          </w:p>
        </w:tc>
        <w:tc>
          <w:tcPr>
            <w:tcW w:w="896" w:type="dxa"/>
            <w:tcBorders>
              <w:top w:val="nil"/>
              <w:left w:val="nil"/>
              <w:bottom w:val="single" w:sz="4" w:space="0" w:color="auto"/>
              <w:right w:val="single" w:sz="4" w:space="0" w:color="auto"/>
            </w:tcBorders>
            <w:shd w:val="clear" w:color="auto" w:fill="auto"/>
            <w:vAlign w:val="center"/>
            <w:hideMark/>
          </w:tcPr>
          <w:p w14:paraId="7AD0041D"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871" w:type="dxa"/>
            <w:tcBorders>
              <w:top w:val="nil"/>
              <w:left w:val="nil"/>
              <w:bottom w:val="single" w:sz="4" w:space="0" w:color="auto"/>
              <w:right w:val="single" w:sz="4" w:space="0" w:color="auto"/>
            </w:tcBorders>
            <w:shd w:val="clear" w:color="auto" w:fill="auto"/>
            <w:vAlign w:val="center"/>
            <w:hideMark/>
          </w:tcPr>
          <w:p w14:paraId="193ACA91"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872" w:type="dxa"/>
            <w:tcBorders>
              <w:top w:val="nil"/>
              <w:left w:val="nil"/>
              <w:bottom w:val="single" w:sz="4" w:space="0" w:color="auto"/>
              <w:right w:val="single" w:sz="4" w:space="0" w:color="auto"/>
            </w:tcBorders>
            <w:shd w:val="clear" w:color="auto" w:fill="auto"/>
            <w:vAlign w:val="center"/>
            <w:hideMark/>
          </w:tcPr>
          <w:p w14:paraId="7F79E43B"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880" w:type="dxa"/>
            <w:tcBorders>
              <w:top w:val="nil"/>
              <w:left w:val="nil"/>
              <w:bottom w:val="single" w:sz="4" w:space="0" w:color="auto"/>
              <w:right w:val="single" w:sz="4" w:space="0" w:color="auto"/>
            </w:tcBorders>
            <w:shd w:val="clear" w:color="auto" w:fill="auto"/>
            <w:vAlign w:val="center"/>
            <w:hideMark/>
          </w:tcPr>
          <w:p w14:paraId="0235972F"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875" w:type="dxa"/>
            <w:tcBorders>
              <w:top w:val="nil"/>
              <w:left w:val="nil"/>
              <w:bottom w:val="single" w:sz="4" w:space="0" w:color="auto"/>
              <w:right w:val="single" w:sz="4" w:space="0" w:color="auto"/>
            </w:tcBorders>
            <w:shd w:val="clear" w:color="auto" w:fill="auto"/>
            <w:vAlign w:val="center"/>
            <w:hideMark/>
          </w:tcPr>
          <w:p w14:paraId="5CF5A157"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938" w:type="dxa"/>
            <w:tcBorders>
              <w:top w:val="nil"/>
              <w:left w:val="nil"/>
              <w:bottom w:val="single" w:sz="4" w:space="0" w:color="auto"/>
              <w:right w:val="single" w:sz="4" w:space="0" w:color="auto"/>
            </w:tcBorders>
            <w:shd w:val="clear" w:color="auto" w:fill="auto"/>
            <w:vAlign w:val="center"/>
            <w:hideMark/>
          </w:tcPr>
          <w:p w14:paraId="563B7A72"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938" w:type="dxa"/>
            <w:tcBorders>
              <w:top w:val="nil"/>
              <w:left w:val="nil"/>
              <w:bottom w:val="single" w:sz="4" w:space="0" w:color="auto"/>
              <w:right w:val="single" w:sz="4" w:space="0" w:color="auto"/>
            </w:tcBorders>
            <w:shd w:val="clear" w:color="auto" w:fill="auto"/>
            <w:vAlign w:val="center"/>
            <w:hideMark/>
          </w:tcPr>
          <w:p w14:paraId="42D55137"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r>
      <w:tr w:rsidR="004255E9" w:rsidRPr="00E17B15" w14:paraId="06771C5A" w14:textId="77777777" w:rsidTr="004255E9">
        <w:trPr>
          <w:trHeight w:val="20"/>
          <w:jc w:val="center"/>
        </w:trPr>
        <w:tc>
          <w:tcPr>
            <w:tcW w:w="2017" w:type="dxa"/>
            <w:tcBorders>
              <w:top w:val="nil"/>
              <w:left w:val="single" w:sz="4" w:space="0" w:color="auto"/>
              <w:bottom w:val="single" w:sz="4" w:space="0" w:color="auto"/>
              <w:right w:val="single" w:sz="4" w:space="0" w:color="auto"/>
            </w:tcBorders>
            <w:shd w:val="clear" w:color="auto" w:fill="auto"/>
            <w:vAlign w:val="center"/>
            <w:hideMark/>
          </w:tcPr>
          <w:p w14:paraId="7586E09E" w14:textId="77777777" w:rsidR="00A65240" w:rsidRPr="00E17B15" w:rsidRDefault="00A65240" w:rsidP="00A65240">
            <w:pPr>
              <w:spacing w:after="0" w:line="240" w:lineRule="auto"/>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Cost</w:t>
            </w:r>
          </w:p>
        </w:tc>
        <w:tc>
          <w:tcPr>
            <w:tcW w:w="896" w:type="dxa"/>
            <w:tcBorders>
              <w:top w:val="nil"/>
              <w:left w:val="nil"/>
              <w:bottom w:val="single" w:sz="4" w:space="0" w:color="auto"/>
              <w:right w:val="single" w:sz="4" w:space="0" w:color="auto"/>
            </w:tcBorders>
            <w:shd w:val="clear" w:color="auto" w:fill="auto"/>
            <w:vAlign w:val="center"/>
            <w:hideMark/>
          </w:tcPr>
          <w:p w14:paraId="5264050F"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871" w:type="dxa"/>
            <w:tcBorders>
              <w:top w:val="nil"/>
              <w:left w:val="nil"/>
              <w:bottom w:val="single" w:sz="4" w:space="0" w:color="auto"/>
              <w:right w:val="single" w:sz="4" w:space="0" w:color="auto"/>
            </w:tcBorders>
            <w:shd w:val="clear" w:color="auto" w:fill="auto"/>
            <w:vAlign w:val="center"/>
            <w:hideMark/>
          </w:tcPr>
          <w:p w14:paraId="6222ED6F"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872" w:type="dxa"/>
            <w:tcBorders>
              <w:top w:val="nil"/>
              <w:left w:val="nil"/>
              <w:bottom w:val="single" w:sz="4" w:space="0" w:color="auto"/>
              <w:right w:val="single" w:sz="4" w:space="0" w:color="auto"/>
            </w:tcBorders>
            <w:shd w:val="clear" w:color="auto" w:fill="auto"/>
            <w:vAlign w:val="center"/>
            <w:hideMark/>
          </w:tcPr>
          <w:p w14:paraId="70FBA51F"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c>
          <w:tcPr>
            <w:tcW w:w="880" w:type="dxa"/>
            <w:tcBorders>
              <w:top w:val="nil"/>
              <w:left w:val="nil"/>
              <w:bottom w:val="single" w:sz="4" w:space="0" w:color="auto"/>
              <w:right w:val="single" w:sz="4" w:space="0" w:color="auto"/>
            </w:tcBorders>
            <w:shd w:val="clear" w:color="auto" w:fill="auto"/>
            <w:vAlign w:val="center"/>
            <w:hideMark/>
          </w:tcPr>
          <w:p w14:paraId="00FA8263"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0.7</w:t>
            </w:r>
          </w:p>
        </w:tc>
        <w:tc>
          <w:tcPr>
            <w:tcW w:w="875" w:type="dxa"/>
            <w:tcBorders>
              <w:top w:val="nil"/>
              <w:left w:val="nil"/>
              <w:bottom w:val="single" w:sz="4" w:space="0" w:color="auto"/>
              <w:right w:val="single" w:sz="4" w:space="0" w:color="auto"/>
            </w:tcBorders>
            <w:shd w:val="clear" w:color="auto" w:fill="auto"/>
            <w:vAlign w:val="center"/>
            <w:hideMark/>
          </w:tcPr>
          <w:p w14:paraId="2568C7A3"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0.8</w:t>
            </w:r>
          </w:p>
        </w:tc>
        <w:tc>
          <w:tcPr>
            <w:tcW w:w="938" w:type="dxa"/>
            <w:tcBorders>
              <w:top w:val="nil"/>
              <w:left w:val="nil"/>
              <w:bottom w:val="single" w:sz="4" w:space="0" w:color="auto"/>
              <w:right w:val="single" w:sz="4" w:space="0" w:color="auto"/>
            </w:tcBorders>
            <w:shd w:val="clear" w:color="auto" w:fill="auto"/>
            <w:vAlign w:val="center"/>
            <w:hideMark/>
          </w:tcPr>
          <w:p w14:paraId="3FBF907B"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0.9</w:t>
            </w:r>
          </w:p>
        </w:tc>
        <w:tc>
          <w:tcPr>
            <w:tcW w:w="938" w:type="dxa"/>
            <w:tcBorders>
              <w:top w:val="nil"/>
              <w:left w:val="nil"/>
              <w:bottom w:val="single" w:sz="4" w:space="0" w:color="auto"/>
              <w:right w:val="single" w:sz="4" w:space="0" w:color="auto"/>
            </w:tcBorders>
            <w:shd w:val="clear" w:color="auto" w:fill="auto"/>
            <w:vAlign w:val="center"/>
            <w:hideMark/>
          </w:tcPr>
          <w:p w14:paraId="3316A2FA" w14:textId="77777777" w:rsidR="00A65240" w:rsidRPr="00E17B15" w:rsidRDefault="00A65240" w:rsidP="004255E9">
            <w:pPr>
              <w:spacing w:after="0" w:line="240" w:lineRule="auto"/>
              <w:jc w:val="center"/>
              <w:rPr>
                <w:rFonts w:ascii="Palatino Linotype" w:eastAsia="Times New Roman" w:hAnsi="Palatino Linotype" w:cs="Times New Roman"/>
                <w:color w:val="374151"/>
                <w:sz w:val="20"/>
                <w:szCs w:val="20"/>
                <w:lang w:val="en-ID" w:eastAsia="zh-CN"/>
              </w:rPr>
            </w:pPr>
            <w:r w:rsidRPr="00E17B15">
              <w:rPr>
                <w:rFonts w:ascii="Palatino Linotype" w:eastAsia="Times New Roman" w:hAnsi="Palatino Linotype" w:cs="Times New Roman"/>
                <w:color w:val="374151"/>
                <w:sz w:val="20"/>
                <w:szCs w:val="20"/>
                <w:lang w:val="en-ID" w:eastAsia="zh-CN"/>
              </w:rPr>
              <w:t>0.6</w:t>
            </w:r>
          </w:p>
        </w:tc>
      </w:tr>
    </w:tbl>
    <w:p w14:paraId="1B89ADD2" w14:textId="77777777" w:rsidR="0041629E" w:rsidRPr="00E17B15" w:rsidRDefault="0041629E" w:rsidP="00CD6A19">
      <w:pPr>
        <w:spacing w:after="0"/>
        <w:rPr>
          <w:rFonts w:ascii="Palatino Linotype" w:hAnsi="Palatino Linotype" w:cs="Times New Roman"/>
          <w:sz w:val="20"/>
          <w:szCs w:val="20"/>
          <w:lang w:val="en-ID"/>
        </w:rPr>
      </w:pPr>
    </w:p>
    <w:p w14:paraId="4D4BB738" w14:textId="4A6F8A8A" w:rsidR="004255E9" w:rsidRPr="00E17B15" w:rsidRDefault="00DB5E54" w:rsidP="004255E9">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Every row denotes a distinct criterion, while each column signifies a distinct online course. The numerical values present in the columns </w:t>
      </w:r>
      <w:proofErr w:type="spellStart"/>
      <w:r w:rsidRPr="00E17B15">
        <w:rPr>
          <w:rFonts w:ascii="Palatino Linotype" w:hAnsi="Palatino Linotype" w:cs="Times New Roman"/>
          <w:sz w:val="20"/>
          <w:szCs w:val="20"/>
          <w:lang w:val="en-ID"/>
        </w:rPr>
        <w:t>labeled</w:t>
      </w:r>
      <w:proofErr w:type="spellEnd"/>
      <w:r w:rsidRPr="00E17B15">
        <w:rPr>
          <w:rFonts w:ascii="Palatino Linotype" w:hAnsi="Palatino Linotype" w:cs="Times New Roman"/>
          <w:sz w:val="20"/>
          <w:szCs w:val="20"/>
          <w:lang w:val="en-ID"/>
        </w:rPr>
        <w:t xml:space="preserve"> "Score for Course" denote the respective scores of each course with respect to the given criterion. The column </w:t>
      </w:r>
      <w:proofErr w:type="spellStart"/>
      <w:r w:rsidRPr="00E17B15">
        <w:rPr>
          <w:rFonts w:ascii="Palatino Linotype" w:hAnsi="Palatino Linotype" w:cs="Times New Roman"/>
          <w:sz w:val="20"/>
          <w:szCs w:val="20"/>
          <w:lang w:val="en-ID"/>
        </w:rPr>
        <w:t>labeled</w:t>
      </w:r>
      <w:proofErr w:type="spellEnd"/>
      <w:r w:rsidRPr="00E17B15">
        <w:rPr>
          <w:rFonts w:ascii="Palatino Linotype" w:hAnsi="Palatino Linotype" w:cs="Times New Roman"/>
          <w:sz w:val="20"/>
          <w:szCs w:val="20"/>
          <w:lang w:val="en-ID"/>
        </w:rPr>
        <w:t xml:space="preserve"> "Ideal Solution" denotes the highest score attained across all courses for every criterion, whereas the column </w:t>
      </w:r>
      <w:proofErr w:type="spellStart"/>
      <w:r w:rsidRPr="00E17B15">
        <w:rPr>
          <w:rFonts w:ascii="Palatino Linotype" w:hAnsi="Palatino Linotype" w:cs="Times New Roman"/>
          <w:sz w:val="20"/>
          <w:szCs w:val="20"/>
          <w:lang w:val="en-ID"/>
        </w:rPr>
        <w:t>labeled</w:t>
      </w:r>
      <w:proofErr w:type="spellEnd"/>
      <w:r w:rsidRPr="00E17B15">
        <w:rPr>
          <w:rFonts w:ascii="Palatino Linotype" w:hAnsi="Palatino Linotype" w:cs="Times New Roman"/>
          <w:sz w:val="20"/>
          <w:szCs w:val="20"/>
          <w:lang w:val="en-ID"/>
        </w:rPr>
        <w:t xml:space="preserve"> "Anti-Ideal Solution" denotes the lowest score achieved across all courses for each criterion.</w:t>
      </w:r>
    </w:p>
    <w:p w14:paraId="5BA5FADC" w14:textId="32848C37" w:rsidR="00CD6A19" w:rsidRPr="00E17B15" w:rsidRDefault="00DB5E54" w:rsidP="004255E9">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Upon identification of the ideal and not ideal solutions, the concordance and discordance indices can be computed for each course, as explicated in the preceding response. These metrics can subsequently be leveraged to rank the courses in accordance with their appropriateness vis-à-vis the requirements and anticipations of the participants.</w:t>
      </w:r>
    </w:p>
    <w:p w14:paraId="78F1AE58" w14:textId="14519BA5" w:rsidR="004516CC" w:rsidRPr="00E17B15" w:rsidRDefault="00282538"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In order to utilize the ELECTRE method and derive the concordance and discordance indices for individual online courses, it is recommended to employ a set of predetermined criteria and weights. The following formulae and procedures can be applied for this purpose.</w:t>
      </w:r>
    </w:p>
    <w:p w14:paraId="1D0B0769" w14:textId="77BED7CD" w:rsidR="003C3E8F" w:rsidRPr="00E17B15" w:rsidRDefault="00CC6DE1" w:rsidP="003C3E8F">
      <w:pPr>
        <w:pStyle w:val="ListParagraph"/>
        <w:numPr>
          <w:ilvl w:val="0"/>
          <w:numId w:val="11"/>
        </w:numPr>
        <w:spacing w:after="0"/>
        <w:ind w:left="284" w:hanging="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I</w:t>
      </w:r>
      <w:r w:rsidR="004516CC" w:rsidRPr="00E17B15">
        <w:rPr>
          <w:rFonts w:ascii="Palatino Linotype" w:hAnsi="Palatino Linotype" w:cs="Times New Roman"/>
          <w:sz w:val="20"/>
          <w:szCs w:val="20"/>
          <w:lang w:val="en-ID"/>
        </w:rPr>
        <w:t>deal and anti-ideal:</w:t>
      </w:r>
    </w:p>
    <w:p w14:paraId="641ED530" w14:textId="05C5814C" w:rsidR="004516CC" w:rsidRPr="00E17B15" w:rsidRDefault="00C759B6" w:rsidP="003C3E8F">
      <w:pPr>
        <w:pStyle w:val="ListParagraph"/>
        <w:spacing w:after="0"/>
        <w:ind w:left="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The optimal resolution denotes the most favourable course of action that fulfils all the established criteria, whereas the counter-optimal resolution denotes the least favourable course of action that fails to meet any of the criteria.</w:t>
      </w:r>
    </w:p>
    <w:p w14:paraId="0DE57605" w14:textId="77777777" w:rsidR="004516CC" w:rsidRPr="00E17B15" w:rsidRDefault="004516CC" w:rsidP="004516CC">
      <w:pPr>
        <w:spacing w:after="0"/>
        <w:ind w:firstLine="284"/>
        <w:jc w:val="both"/>
        <w:rPr>
          <w:rFonts w:ascii="Palatino Linotype" w:hAnsi="Palatino Linotype" w:cs="Times New Roman"/>
          <w:sz w:val="20"/>
          <w:szCs w:val="20"/>
          <w:lang w:val="en-ID"/>
        </w:rPr>
      </w:pPr>
    </w:p>
    <w:p w14:paraId="36ED60A7" w14:textId="77777777" w:rsidR="004516CC" w:rsidRPr="00E17B15" w:rsidRDefault="004516CC"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Ideal Solution:</w:t>
      </w:r>
    </w:p>
    <w:p w14:paraId="4BA1C168" w14:textId="77777777" w:rsidR="004516CC" w:rsidRPr="00E17B15" w:rsidRDefault="004516CC" w:rsidP="004516CC">
      <w:pPr>
        <w:spacing w:after="0"/>
        <w:ind w:firstLine="284"/>
        <w:jc w:val="both"/>
        <w:rPr>
          <w:rFonts w:ascii="Palatino Linotype" w:hAnsi="Palatino Linotype" w:cs="Times New Roman"/>
          <w:i/>
          <w:iCs/>
          <w:sz w:val="20"/>
          <w:szCs w:val="20"/>
          <w:lang w:val="en-ID"/>
        </w:rPr>
      </w:pPr>
      <w:proofErr w:type="spellStart"/>
      <w:r w:rsidRPr="00E17B15">
        <w:rPr>
          <w:rFonts w:ascii="Palatino Linotype" w:hAnsi="Palatino Linotype" w:cs="Times New Roman"/>
          <w:i/>
          <w:iCs/>
          <w:sz w:val="20"/>
          <w:szCs w:val="20"/>
          <w:lang w:val="en-ID"/>
        </w:rPr>
        <w:t>I_j</w:t>
      </w:r>
      <w:proofErr w:type="spellEnd"/>
      <w:r w:rsidRPr="00E17B15">
        <w:rPr>
          <w:rFonts w:ascii="Palatino Linotype" w:hAnsi="Palatino Linotype" w:cs="Times New Roman"/>
          <w:i/>
          <w:iCs/>
          <w:sz w:val="20"/>
          <w:szCs w:val="20"/>
          <w:lang w:val="en-ID"/>
        </w:rPr>
        <w:t xml:space="preserve"> = max(</w:t>
      </w:r>
      <w:proofErr w:type="spellStart"/>
      <w:r w:rsidRPr="00E17B15">
        <w:rPr>
          <w:rFonts w:ascii="Palatino Linotype" w:hAnsi="Palatino Linotype" w:cs="Times New Roman"/>
          <w:i/>
          <w:iCs/>
          <w:sz w:val="20"/>
          <w:szCs w:val="20"/>
          <w:lang w:val="en-ID"/>
        </w:rPr>
        <w:t>C_j</w:t>
      </w:r>
      <w:proofErr w:type="spellEnd"/>
      <w:r w:rsidRPr="00E17B15">
        <w:rPr>
          <w:rFonts w:ascii="Palatino Linotype" w:hAnsi="Palatino Linotype" w:cs="Times New Roman"/>
          <w:i/>
          <w:iCs/>
          <w:sz w:val="20"/>
          <w:szCs w:val="20"/>
          <w:lang w:val="en-ID"/>
        </w:rPr>
        <w:t>)</w:t>
      </w:r>
    </w:p>
    <w:p w14:paraId="17858B59" w14:textId="77777777" w:rsidR="004516CC" w:rsidRPr="00E17B15" w:rsidRDefault="004516CC" w:rsidP="004516CC">
      <w:pPr>
        <w:spacing w:after="0"/>
        <w:ind w:firstLine="284"/>
        <w:jc w:val="both"/>
        <w:rPr>
          <w:rFonts w:ascii="Palatino Linotype" w:hAnsi="Palatino Linotype" w:cs="Times New Roman"/>
          <w:sz w:val="20"/>
          <w:szCs w:val="20"/>
          <w:lang w:val="en-ID"/>
        </w:rPr>
      </w:pPr>
    </w:p>
    <w:p w14:paraId="793FA3A1" w14:textId="77777777" w:rsidR="004516CC" w:rsidRPr="00E17B15" w:rsidRDefault="004516CC"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Anti-Ideal Solution:</w:t>
      </w:r>
    </w:p>
    <w:p w14:paraId="19755093" w14:textId="77777777" w:rsidR="004516CC" w:rsidRPr="00E17B15" w:rsidRDefault="004516CC" w:rsidP="004516CC">
      <w:pPr>
        <w:spacing w:after="0"/>
        <w:ind w:firstLine="284"/>
        <w:jc w:val="both"/>
        <w:rPr>
          <w:rFonts w:ascii="Palatino Linotype" w:hAnsi="Palatino Linotype" w:cs="Times New Roman"/>
          <w:i/>
          <w:iCs/>
          <w:sz w:val="20"/>
          <w:szCs w:val="20"/>
          <w:lang w:val="en-ID"/>
        </w:rPr>
      </w:pPr>
      <w:proofErr w:type="spellStart"/>
      <w:r w:rsidRPr="00E17B15">
        <w:rPr>
          <w:rFonts w:ascii="Palatino Linotype" w:hAnsi="Palatino Linotype" w:cs="Times New Roman"/>
          <w:i/>
          <w:iCs/>
          <w:sz w:val="20"/>
          <w:szCs w:val="20"/>
          <w:lang w:val="en-ID"/>
        </w:rPr>
        <w:t>A_j</w:t>
      </w:r>
      <w:proofErr w:type="spellEnd"/>
      <w:r w:rsidRPr="00E17B15">
        <w:rPr>
          <w:rFonts w:ascii="Palatino Linotype" w:hAnsi="Palatino Linotype" w:cs="Times New Roman"/>
          <w:i/>
          <w:iCs/>
          <w:sz w:val="20"/>
          <w:szCs w:val="20"/>
          <w:lang w:val="en-ID"/>
        </w:rPr>
        <w:t xml:space="preserve"> = min(</w:t>
      </w:r>
      <w:proofErr w:type="spellStart"/>
      <w:r w:rsidRPr="00E17B15">
        <w:rPr>
          <w:rFonts w:ascii="Palatino Linotype" w:hAnsi="Palatino Linotype" w:cs="Times New Roman"/>
          <w:i/>
          <w:iCs/>
          <w:sz w:val="20"/>
          <w:szCs w:val="20"/>
          <w:lang w:val="en-ID"/>
        </w:rPr>
        <w:t>C_j</w:t>
      </w:r>
      <w:proofErr w:type="spellEnd"/>
      <w:r w:rsidRPr="00E17B15">
        <w:rPr>
          <w:rFonts w:ascii="Palatino Linotype" w:hAnsi="Palatino Linotype" w:cs="Times New Roman"/>
          <w:i/>
          <w:iCs/>
          <w:sz w:val="20"/>
          <w:szCs w:val="20"/>
          <w:lang w:val="en-ID"/>
        </w:rPr>
        <w:t>)</w:t>
      </w:r>
    </w:p>
    <w:p w14:paraId="44A0DF42" w14:textId="77777777" w:rsidR="004516CC" w:rsidRPr="00E17B15" w:rsidRDefault="004516CC" w:rsidP="004516CC">
      <w:pPr>
        <w:spacing w:after="0"/>
        <w:ind w:firstLine="284"/>
        <w:jc w:val="both"/>
        <w:rPr>
          <w:rFonts w:ascii="Palatino Linotype" w:hAnsi="Palatino Linotype" w:cs="Times New Roman"/>
          <w:sz w:val="20"/>
          <w:szCs w:val="20"/>
          <w:lang w:val="en-ID"/>
        </w:rPr>
      </w:pPr>
    </w:p>
    <w:p w14:paraId="5B8B76CB" w14:textId="35675738" w:rsidR="004516CC" w:rsidRPr="00E17B15" w:rsidRDefault="00C759B6"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The variable </w:t>
      </w:r>
      <w:proofErr w:type="spellStart"/>
      <w:r w:rsidRPr="00E17B15">
        <w:rPr>
          <w:rFonts w:ascii="Palatino Linotype" w:hAnsi="Palatino Linotype" w:cs="Times New Roman"/>
          <w:sz w:val="20"/>
          <w:szCs w:val="20"/>
          <w:lang w:val="en-ID"/>
        </w:rPr>
        <w:t>C_j</w:t>
      </w:r>
      <w:proofErr w:type="spellEnd"/>
      <w:r w:rsidRPr="00E17B15">
        <w:rPr>
          <w:rFonts w:ascii="Palatino Linotype" w:hAnsi="Palatino Linotype" w:cs="Times New Roman"/>
          <w:sz w:val="20"/>
          <w:szCs w:val="20"/>
          <w:lang w:val="en-ID"/>
        </w:rPr>
        <w:t xml:space="preserve"> represents the numerical value assigned to the performance of course j with respect to criterion j.</w:t>
      </w:r>
    </w:p>
    <w:p w14:paraId="2D65EF1A" w14:textId="77777777" w:rsidR="005B3760" w:rsidRPr="00E17B15" w:rsidRDefault="005B3760" w:rsidP="004516CC">
      <w:pPr>
        <w:spacing w:after="0"/>
        <w:ind w:firstLine="284"/>
        <w:jc w:val="both"/>
        <w:rPr>
          <w:rFonts w:ascii="Palatino Linotype" w:hAnsi="Palatino Linotype" w:cs="Times New Roman"/>
          <w:sz w:val="20"/>
          <w:szCs w:val="20"/>
          <w:lang w:val="en-ID"/>
        </w:rPr>
      </w:pPr>
    </w:p>
    <w:p w14:paraId="10593126" w14:textId="500BC340" w:rsidR="004516CC" w:rsidRPr="00E17B15" w:rsidRDefault="004516CC" w:rsidP="00557393">
      <w:pPr>
        <w:pStyle w:val="ListParagraph"/>
        <w:numPr>
          <w:ilvl w:val="0"/>
          <w:numId w:val="11"/>
        </w:numPr>
        <w:spacing w:after="0"/>
        <w:ind w:left="284" w:hanging="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concordance and discordance</w:t>
      </w:r>
      <w:r w:rsidR="005B3760" w:rsidRPr="00E17B15">
        <w:rPr>
          <w:rFonts w:ascii="Palatino Linotype" w:hAnsi="Palatino Linotype" w:cs="Times New Roman"/>
          <w:sz w:val="20"/>
          <w:szCs w:val="20"/>
          <w:lang w:val="en-ID"/>
        </w:rPr>
        <w:t xml:space="preserve"> index</w:t>
      </w:r>
      <w:r w:rsidRPr="00E17B15">
        <w:rPr>
          <w:rFonts w:ascii="Palatino Linotype" w:hAnsi="Palatino Linotype" w:cs="Times New Roman"/>
          <w:sz w:val="20"/>
          <w:szCs w:val="20"/>
          <w:lang w:val="en-ID"/>
        </w:rPr>
        <w:t>:</w:t>
      </w:r>
    </w:p>
    <w:p w14:paraId="48BF4BC1" w14:textId="361F24B7" w:rsidR="004516CC" w:rsidRPr="00E17B15" w:rsidRDefault="004516CC"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Concordance</w:t>
      </w:r>
      <w:r w:rsidR="005B3760" w:rsidRPr="00E17B15">
        <w:rPr>
          <w:rFonts w:ascii="Palatino Linotype" w:hAnsi="Palatino Linotype" w:cs="Times New Roman"/>
          <w:sz w:val="20"/>
          <w:szCs w:val="20"/>
          <w:lang w:val="en-ID"/>
        </w:rPr>
        <w:t xml:space="preserve"> I</w:t>
      </w:r>
      <w:r w:rsidRPr="00E17B15">
        <w:rPr>
          <w:rFonts w:ascii="Palatino Linotype" w:hAnsi="Palatino Linotype" w:cs="Times New Roman"/>
          <w:sz w:val="20"/>
          <w:szCs w:val="20"/>
          <w:lang w:val="en-ID"/>
        </w:rPr>
        <w:t>ndex:</w:t>
      </w:r>
    </w:p>
    <w:p w14:paraId="6DCA19DB" w14:textId="77777777" w:rsidR="004516CC" w:rsidRPr="00E17B15" w:rsidRDefault="004516CC" w:rsidP="004516CC">
      <w:pPr>
        <w:spacing w:after="0"/>
        <w:ind w:firstLine="284"/>
        <w:jc w:val="both"/>
        <w:rPr>
          <w:rFonts w:ascii="Palatino Linotype" w:hAnsi="Palatino Linotype" w:cs="Times New Roman"/>
          <w:i/>
          <w:iCs/>
          <w:sz w:val="20"/>
          <w:szCs w:val="20"/>
          <w:lang w:val="en-ID"/>
        </w:rPr>
      </w:pPr>
      <w:proofErr w:type="spellStart"/>
      <w:r w:rsidRPr="00E17B15">
        <w:rPr>
          <w:rFonts w:ascii="Palatino Linotype" w:hAnsi="Palatino Linotype" w:cs="Times New Roman"/>
          <w:i/>
          <w:iCs/>
          <w:sz w:val="20"/>
          <w:szCs w:val="20"/>
          <w:lang w:val="en-ID"/>
        </w:rPr>
        <w:t>Con_i</w:t>
      </w:r>
      <w:proofErr w:type="spellEnd"/>
      <w:r w:rsidRPr="00E17B15">
        <w:rPr>
          <w:rFonts w:ascii="Palatino Linotype" w:hAnsi="Palatino Linotype" w:cs="Times New Roman"/>
          <w:i/>
          <w:iCs/>
          <w:sz w:val="20"/>
          <w:szCs w:val="20"/>
          <w:lang w:val="en-ID"/>
        </w:rPr>
        <w:t xml:space="preserve"> = (Σ </w:t>
      </w:r>
      <w:proofErr w:type="spellStart"/>
      <w:r w:rsidRPr="00E17B15">
        <w:rPr>
          <w:rFonts w:ascii="Palatino Linotype" w:hAnsi="Palatino Linotype" w:cs="Times New Roman"/>
          <w:i/>
          <w:iCs/>
          <w:sz w:val="20"/>
          <w:szCs w:val="20"/>
          <w:lang w:val="en-ID"/>
        </w:rPr>
        <w:t>w_j</w:t>
      </w:r>
      <w:proofErr w:type="spellEnd"/>
      <w:r w:rsidRPr="00E17B15">
        <w:rPr>
          <w:rFonts w:ascii="Palatino Linotype" w:hAnsi="Palatino Linotype" w:cs="Times New Roman"/>
          <w:i/>
          <w:iCs/>
          <w:sz w:val="20"/>
          <w:szCs w:val="20"/>
          <w:lang w:val="en-ID"/>
        </w:rPr>
        <w:t xml:space="preserve"> × [</w:t>
      </w:r>
      <w:proofErr w:type="spellStart"/>
      <w:r w:rsidRPr="00E17B15">
        <w:rPr>
          <w:rFonts w:ascii="Palatino Linotype" w:hAnsi="Palatino Linotype" w:cs="Times New Roman"/>
          <w:i/>
          <w:iCs/>
          <w:sz w:val="20"/>
          <w:szCs w:val="20"/>
          <w:lang w:val="en-ID"/>
        </w:rPr>
        <w:t>C_j</w:t>
      </w:r>
      <w:proofErr w:type="spellEnd"/>
      <w:r w:rsidRPr="00E17B15">
        <w:rPr>
          <w:rFonts w:ascii="Palatino Linotype" w:hAnsi="Palatino Linotype" w:cs="Times New Roman"/>
          <w:i/>
          <w:iCs/>
          <w:sz w:val="20"/>
          <w:szCs w:val="20"/>
          <w:lang w:val="en-ID"/>
        </w:rPr>
        <w:t xml:space="preserve"> &gt;= </w:t>
      </w:r>
      <w:proofErr w:type="spellStart"/>
      <w:r w:rsidRPr="00E17B15">
        <w:rPr>
          <w:rFonts w:ascii="Palatino Linotype" w:hAnsi="Palatino Linotype" w:cs="Times New Roman"/>
          <w:i/>
          <w:iCs/>
          <w:sz w:val="20"/>
          <w:szCs w:val="20"/>
          <w:lang w:val="en-ID"/>
        </w:rPr>
        <w:t>C_i</w:t>
      </w:r>
      <w:proofErr w:type="spellEnd"/>
      <w:r w:rsidRPr="00E17B15">
        <w:rPr>
          <w:rFonts w:ascii="Palatino Linotype" w:hAnsi="Palatino Linotype" w:cs="Times New Roman"/>
          <w:i/>
          <w:iCs/>
          <w:sz w:val="20"/>
          <w:szCs w:val="20"/>
          <w:lang w:val="en-ID"/>
        </w:rPr>
        <w:t xml:space="preserve">]) / (Σ </w:t>
      </w:r>
      <w:proofErr w:type="spellStart"/>
      <w:r w:rsidRPr="00E17B15">
        <w:rPr>
          <w:rFonts w:ascii="Palatino Linotype" w:hAnsi="Palatino Linotype" w:cs="Times New Roman"/>
          <w:i/>
          <w:iCs/>
          <w:sz w:val="20"/>
          <w:szCs w:val="20"/>
          <w:lang w:val="en-ID"/>
        </w:rPr>
        <w:t>w_j</w:t>
      </w:r>
      <w:proofErr w:type="spellEnd"/>
      <w:r w:rsidRPr="00E17B15">
        <w:rPr>
          <w:rFonts w:ascii="Palatino Linotype" w:hAnsi="Palatino Linotype" w:cs="Times New Roman"/>
          <w:i/>
          <w:iCs/>
          <w:sz w:val="20"/>
          <w:szCs w:val="20"/>
          <w:lang w:val="en-ID"/>
        </w:rPr>
        <w:t>)</w:t>
      </w:r>
    </w:p>
    <w:p w14:paraId="7D4ED23A" w14:textId="77777777" w:rsidR="004516CC" w:rsidRPr="00E17B15" w:rsidRDefault="004516CC" w:rsidP="004516CC">
      <w:pPr>
        <w:spacing w:after="0"/>
        <w:ind w:firstLine="284"/>
        <w:jc w:val="both"/>
        <w:rPr>
          <w:rFonts w:ascii="Palatino Linotype" w:hAnsi="Palatino Linotype" w:cs="Times New Roman"/>
          <w:sz w:val="20"/>
          <w:szCs w:val="20"/>
          <w:lang w:val="en-ID"/>
        </w:rPr>
      </w:pPr>
    </w:p>
    <w:p w14:paraId="53E3FC05" w14:textId="77039E9D" w:rsidR="004516CC" w:rsidRPr="00E17B15" w:rsidRDefault="00796415"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The equation involves the weight assigned to criterion j, denoted as </w:t>
      </w:r>
      <w:proofErr w:type="spellStart"/>
      <w:r w:rsidRPr="00E17B15">
        <w:rPr>
          <w:rFonts w:ascii="Palatino Linotype" w:hAnsi="Palatino Linotype" w:cs="Times New Roman"/>
          <w:sz w:val="20"/>
          <w:szCs w:val="20"/>
          <w:lang w:val="en-ID"/>
        </w:rPr>
        <w:t>w_j</w:t>
      </w:r>
      <w:proofErr w:type="spellEnd"/>
      <w:r w:rsidRPr="00E17B15">
        <w:rPr>
          <w:rFonts w:ascii="Palatino Linotype" w:hAnsi="Palatino Linotype" w:cs="Times New Roman"/>
          <w:sz w:val="20"/>
          <w:szCs w:val="20"/>
          <w:lang w:val="en-ID"/>
        </w:rPr>
        <w:t>, and an indicator function [</w:t>
      </w:r>
      <w:proofErr w:type="spellStart"/>
      <w:r w:rsidRPr="00E17B15">
        <w:rPr>
          <w:rFonts w:ascii="Palatino Linotype" w:hAnsi="Palatino Linotype" w:cs="Times New Roman"/>
          <w:sz w:val="20"/>
          <w:szCs w:val="20"/>
          <w:lang w:val="en-ID"/>
        </w:rPr>
        <w:t>C_j</w:t>
      </w:r>
      <w:proofErr w:type="spellEnd"/>
      <w:r w:rsidRPr="00E17B15">
        <w:rPr>
          <w:rFonts w:ascii="Palatino Linotype" w:hAnsi="Palatino Linotype" w:cs="Times New Roman"/>
          <w:sz w:val="20"/>
          <w:szCs w:val="20"/>
          <w:lang w:val="en-ID"/>
        </w:rPr>
        <w:t xml:space="preserve"> &gt;= </w:t>
      </w:r>
      <w:proofErr w:type="spellStart"/>
      <w:r w:rsidRPr="00E17B15">
        <w:rPr>
          <w:rFonts w:ascii="Palatino Linotype" w:hAnsi="Palatino Linotype" w:cs="Times New Roman"/>
          <w:sz w:val="20"/>
          <w:szCs w:val="20"/>
          <w:lang w:val="en-ID"/>
        </w:rPr>
        <w:t>C_i</w:t>
      </w:r>
      <w:proofErr w:type="spellEnd"/>
      <w:r w:rsidRPr="00E17B15">
        <w:rPr>
          <w:rFonts w:ascii="Palatino Linotype" w:hAnsi="Palatino Linotype" w:cs="Times New Roman"/>
          <w:sz w:val="20"/>
          <w:szCs w:val="20"/>
          <w:lang w:val="en-ID"/>
        </w:rPr>
        <w:t>]. The indicator function returns a value of 1 if the score of course i for criterion j is greater than or equal to the score of course j for criterion j, and a value of 0 otherwise.</w:t>
      </w:r>
    </w:p>
    <w:p w14:paraId="636C08B3" w14:textId="77777777" w:rsidR="00796415" w:rsidRPr="00E17B15" w:rsidRDefault="00796415" w:rsidP="004516CC">
      <w:pPr>
        <w:spacing w:after="0"/>
        <w:ind w:firstLine="284"/>
        <w:jc w:val="both"/>
        <w:rPr>
          <w:rFonts w:ascii="Palatino Linotype" w:hAnsi="Palatino Linotype" w:cs="Times New Roman"/>
          <w:sz w:val="20"/>
          <w:szCs w:val="20"/>
          <w:lang w:val="en-ID"/>
        </w:rPr>
      </w:pPr>
    </w:p>
    <w:p w14:paraId="2A54879D" w14:textId="77777777" w:rsidR="004516CC" w:rsidRPr="00E17B15" w:rsidRDefault="004516CC"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Discordance Index:</w:t>
      </w:r>
    </w:p>
    <w:p w14:paraId="07E35FE4" w14:textId="77777777" w:rsidR="004516CC" w:rsidRPr="00E17B15" w:rsidRDefault="004516CC" w:rsidP="004516CC">
      <w:pPr>
        <w:spacing w:after="0"/>
        <w:ind w:firstLine="284"/>
        <w:jc w:val="both"/>
        <w:rPr>
          <w:rFonts w:ascii="Palatino Linotype" w:hAnsi="Palatino Linotype" w:cs="Times New Roman"/>
          <w:i/>
          <w:iCs/>
          <w:sz w:val="20"/>
          <w:szCs w:val="20"/>
          <w:lang w:val="en-ID"/>
        </w:rPr>
      </w:pPr>
      <w:proofErr w:type="spellStart"/>
      <w:r w:rsidRPr="00E17B15">
        <w:rPr>
          <w:rFonts w:ascii="Palatino Linotype" w:hAnsi="Palatino Linotype" w:cs="Times New Roman"/>
          <w:i/>
          <w:iCs/>
          <w:sz w:val="20"/>
          <w:szCs w:val="20"/>
          <w:lang w:val="en-ID"/>
        </w:rPr>
        <w:t>Dis_i</w:t>
      </w:r>
      <w:proofErr w:type="spellEnd"/>
      <w:r w:rsidRPr="00E17B15">
        <w:rPr>
          <w:rFonts w:ascii="Palatino Linotype" w:hAnsi="Palatino Linotype" w:cs="Times New Roman"/>
          <w:i/>
          <w:iCs/>
          <w:sz w:val="20"/>
          <w:szCs w:val="20"/>
          <w:lang w:val="en-ID"/>
        </w:rPr>
        <w:t xml:space="preserve"> = (Σ </w:t>
      </w:r>
      <w:proofErr w:type="spellStart"/>
      <w:r w:rsidRPr="00E17B15">
        <w:rPr>
          <w:rFonts w:ascii="Palatino Linotype" w:hAnsi="Palatino Linotype" w:cs="Times New Roman"/>
          <w:i/>
          <w:iCs/>
          <w:sz w:val="20"/>
          <w:szCs w:val="20"/>
          <w:lang w:val="en-ID"/>
        </w:rPr>
        <w:t>w_j</w:t>
      </w:r>
      <w:proofErr w:type="spellEnd"/>
      <w:r w:rsidRPr="00E17B15">
        <w:rPr>
          <w:rFonts w:ascii="Palatino Linotype" w:hAnsi="Palatino Linotype" w:cs="Times New Roman"/>
          <w:i/>
          <w:iCs/>
          <w:sz w:val="20"/>
          <w:szCs w:val="20"/>
          <w:lang w:val="en-ID"/>
        </w:rPr>
        <w:t xml:space="preserve"> × [</w:t>
      </w:r>
      <w:proofErr w:type="spellStart"/>
      <w:r w:rsidRPr="00E17B15">
        <w:rPr>
          <w:rFonts w:ascii="Palatino Linotype" w:hAnsi="Palatino Linotype" w:cs="Times New Roman"/>
          <w:i/>
          <w:iCs/>
          <w:sz w:val="20"/>
          <w:szCs w:val="20"/>
          <w:lang w:val="en-ID"/>
        </w:rPr>
        <w:t>C_j</w:t>
      </w:r>
      <w:proofErr w:type="spellEnd"/>
      <w:r w:rsidRPr="00E17B15">
        <w:rPr>
          <w:rFonts w:ascii="Palatino Linotype" w:hAnsi="Palatino Linotype" w:cs="Times New Roman"/>
          <w:i/>
          <w:iCs/>
          <w:sz w:val="20"/>
          <w:szCs w:val="20"/>
          <w:lang w:val="en-ID"/>
        </w:rPr>
        <w:t xml:space="preserve"> &lt; </w:t>
      </w:r>
      <w:proofErr w:type="spellStart"/>
      <w:r w:rsidRPr="00E17B15">
        <w:rPr>
          <w:rFonts w:ascii="Palatino Linotype" w:hAnsi="Palatino Linotype" w:cs="Times New Roman"/>
          <w:i/>
          <w:iCs/>
          <w:sz w:val="20"/>
          <w:szCs w:val="20"/>
          <w:lang w:val="en-ID"/>
        </w:rPr>
        <w:t>C_i</w:t>
      </w:r>
      <w:proofErr w:type="spellEnd"/>
      <w:r w:rsidRPr="00E17B15">
        <w:rPr>
          <w:rFonts w:ascii="Palatino Linotype" w:hAnsi="Palatino Linotype" w:cs="Times New Roman"/>
          <w:i/>
          <w:iCs/>
          <w:sz w:val="20"/>
          <w:szCs w:val="20"/>
          <w:lang w:val="en-ID"/>
        </w:rPr>
        <w:t>] × (</w:t>
      </w:r>
      <w:proofErr w:type="spellStart"/>
      <w:r w:rsidRPr="00E17B15">
        <w:rPr>
          <w:rFonts w:ascii="Palatino Linotype" w:hAnsi="Palatino Linotype" w:cs="Times New Roman"/>
          <w:i/>
          <w:iCs/>
          <w:sz w:val="20"/>
          <w:szCs w:val="20"/>
          <w:lang w:val="en-ID"/>
        </w:rPr>
        <w:t>C_i</w:t>
      </w:r>
      <w:proofErr w:type="spellEnd"/>
      <w:r w:rsidRPr="00E17B15">
        <w:rPr>
          <w:rFonts w:ascii="Palatino Linotype" w:hAnsi="Palatino Linotype" w:cs="Times New Roman"/>
          <w:i/>
          <w:iCs/>
          <w:sz w:val="20"/>
          <w:szCs w:val="20"/>
          <w:lang w:val="en-ID"/>
        </w:rPr>
        <w:t xml:space="preserve"> - </w:t>
      </w:r>
      <w:proofErr w:type="spellStart"/>
      <w:r w:rsidRPr="00E17B15">
        <w:rPr>
          <w:rFonts w:ascii="Palatino Linotype" w:hAnsi="Palatino Linotype" w:cs="Times New Roman"/>
          <w:i/>
          <w:iCs/>
          <w:sz w:val="20"/>
          <w:szCs w:val="20"/>
          <w:lang w:val="en-ID"/>
        </w:rPr>
        <w:t>C_j</w:t>
      </w:r>
      <w:proofErr w:type="spellEnd"/>
      <w:r w:rsidRPr="00E17B15">
        <w:rPr>
          <w:rFonts w:ascii="Palatino Linotype" w:hAnsi="Palatino Linotype" w:cs="Times New Roman"/>
          <w:i/>
          <w:iCs/>
          <w:sz w:val="20"/>
          <w:szCs w:val="20"/>
          <w:lang w:val="en-ID"/>
        </w:rPr>
        <w:t xml:space="preserve">)) / (Σ </w:t>
      </w:r>
      <w:proofErr w:type="spellStart"/>
      <w:r w:rsidRPr="00E17B15">
        <w:rPr>
          <w:rFonts w:ascii="Palatino Linotype" w:hAnsi="Palatino Linotype" w:cs="Times New Roman"/>
          <w:i/>
          <w:iCs/>
          <w:sz w:val="20"/>
          <w:szCs w:val="20"/>
          <w:lang w:val="en-ID"/>
        </w:rPr>
        <w:t>w_j</w:t>
      </w:r>
      <w:proofErr w:type="spellEnd"/>
      <w:r w:rsidRPr="00E17B15">
        <w:rPr>
          <w:rFonts w:ascii="Palatino Linotype" w:hAnsi="Palatino Linotype" w:cs="Times New Roman"/>
          <w:i/>
          <w:iCs/>
          <w:sz w:val="20"/>
          <w:szCs w:val="20"/>
          <w:lang w:val="en-ID"/>
        </w:rPr>
        <w:t>)</w:t>
      </w:r>
    </w:p>
    <w:p w14:paraId="38E256BD" w14:textId="77777777" w:rsidR="004516CC" w:rsidRPr="00E17B15" w:rsidRDefault="004516CC" w:rsidP="004516CC">
      <w:pPr>
        <w:spacing w:after="0"/>
        <w:ind w:firstLine="284"/>
        <w:jc w:val="both"/>
        <w:rPr>
          <w:rFonts w:ascii="Palatino Linotype" w:hAnsi="Palatino Linotype" w:cs="Times New Roman"/>
          <w:sz w:val="20"/>
          <w:szCs w:val="20"/>
          <w:lang w:val="en-ID"/>
        </w:rPr>
      </w:pPr>
    </w:p>
    <w:p w14:paraId="5E26713E" w14:textId="77777777" w:rsidR="004516CC" w:rsidRPr="00E17B15" w:rsidRDefault="004516CC"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where </w:t>
      </w:r>
      <w:r w:rsidRPr="00E17B15">
        <w:rPr>
          <w:rFonts w:ascii="Palatino Linotype" w:hAnsi="Palatino Linotype" w:cs="Times New Roman"/>
          <w:i/>
          <w:iCs/>
          <w:sz w:val="20"/>
          <w:szCs w:val="20"/>
          <w:lang w:val="en-ID"/>
        </w:rPr>
        <w:t>[</w:t>
      </w:r>
      <w:proofErr w:type="spellStart"/>
      <w:r w:rsidRPr="00E17B15">
        <w:rPr>
          <w:rFonts w:ascii="Palatino Linotype" w:hAnsi="Palatino Linotype" w:cs="Times New Roman"/>
          <w:i/>
          <w:iCs/>
          <w:sz w:val="20"/>
          <w:szCs w:val="20"/>
          <w:lang w:val="en-ID"/>
        </w:rPr>
        <w:t>C_j</w:t>
      </w:r>
      <w:proofErr w:type="spellEnd"/>
      <w:r w:rsidRPr="00E17B15">
        <w:rPr>
          <w:rFonts w:ascii="Palatino Linotype" w:hAnsi="Palatino Linotype" w:cs="Times New Roman"/>
          <w:i/>
          <w:iCs/>
          <w:sz w:val="20"/>
          <w:szCs w:val="20"/>
          <w:lang w:val="en-ID"/>
        </w:rPr>
        <w:t xml:space="preserve"> &lt; </w:t>
      </w:r>
      <w:proofErr w:type="spellStart"/>
      <w:r w:rsidRPr="00E17B15">
        <w:rPr>
          <w:rFonts w:ascii="Palatino Linotype" w:hAnsi="Palatino Linotype" w:cs="Times New Roman"/>
          <w:i/>
          <w:iCs/>
          <w:sz w:val="20"/>
          <w:szCs w:val="20"/>
          <w:lang w:val="en-ID"/>
        </w:rPr>
        <w:t>C_i</w:t>
      </w:r>
      <w:proofErr w:type="spellEnd"/>
      <w:r w:rsidRPr="00E17B15">
        <w:rPr>
          <w:rFonts w:ascii="Palatino Linotype" w:hAnsi="Palatino Linotype" w:cs="Times New Roman"/>
          <w:i/>
          <w:iCs/>
          <w:sz w:val="20"/>
          <w:szCs w:val="20"/>
          <w:lang w:val="en-ID"/>
        </w:rPr>
        <w:t>]</w:t>
      </w:r>
      <w:r w:rsidRPr="00E17B15">
        <w:rPr>
          <w:rFonts w:ascii="Palatino Linotype" w:hAnsi="Palatino Linotype" w:cs="Times New Roman"/>
          <w:sz w:val="20"/>
          <w:szCs w:val="20"/>
          <w:lang w:val="en-ID"/>
        </w:rPr>
        <w:t xml:space="preserve"> is an indicator function that returns 1 if the score of course i for criterion j is less than the score of course j for criterion j, and 0 otherwise.</w:t>
      </w:r>
    </w:p>
    <w:p w14:paraId="03D33689" w14:textId="77777777" w:rsidR="004516CC" w:rsidRPr="00E17B15" w:rsidRDefault="004516CC" w:rsidP="004516CC">
      <w:pPr>
        <w:spacing w:after="0"/>
        <w:ind w:firstLine="284"/>
        <w:jc w:val="both"/>
        <w:rPr>
          <w:rFonts w:ascii="Palatino Linotype" w:hAnsi="Palatino Linotype" w:cs="Times New Roman"/>
          <w:sz w:val="20"/>
          <w:szCs w:val="20"/>
          <w:lang w:val="en-ID"/>
        </w:rPr>
      </w:pPr>
    </w:p>
    <w:p w14:paraId="58DFE588" w14:textId="40A039D1" w:rsidR="004516CC" w:rsidRPr="00E17B15" w:rsidRDefault="004516CC" w:rsidP="00557393">
      <w:pPr>
        <w:pStyle w:val="ListParagraph"/>
        <w:numPr>
          <w:ilvl w:val="0"/>
          <w:numId w:val="11"/>
        </w:numPr>
        <w:spacing w:after="0"/>
        <w:ind w:left="284" w:hanging="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Calculate the net flow and ranking:</w:t>
      </w:r>
    </w:p>
    <w:p w14:paraId="2075825A" w14:textId="77777777" w:rsidR="004516CC" w:rsidRPr="00E17B15" w:rsidRDefault="004516CC"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Net Flow:</w:t>
      </w:r>
    </w:p>
    <w:p w14:paraId="57167868" w14:textId="77777777" w:rsidR="004516CC" w:rsidRPr="00E17B15" w:rsidRDefault="004516CC" w:rsidP="004516CC">
      <w:pPr>
        <w:spacing w:after="0"/>
        <w:ind w:firstLine="284"/>
        <w:jc w:val="both"/>
        <w:rPr>
          <w:rFonts w:ascii="Palatino Linotype" w:hAnsi="Palatino Linotype" w:cs="Times New Roman"/>
          <w:i/>
          <w:iCs/>
          <w:sz w:val="20"/>
          <w:szCs w:val="20"/>
          <w:lang w:val="en-ID"/>
        </w:rPr>
      </w:pPr>
      <w:proofErr w:type="spellStart"/>
      <w:r w:rsidRPr="00E17B15">
        <w:rPr>
          <w:rFonts w:ascii="Palatino Linotype" w:hAnsi="Palatino Linotype" w:cs="Times New Roman"/>
          <w:i/>
          <w:iCs/>
          <w:sz w:val="20"/>
          <w:szCs w:val="20"/>
          <w:lang w:val="en-ID"/>
        </w:rPr>
        <w:t>NF_i</w:t>
      </w:r>
      <w:proofErr w:type="spellEnd"/>
      <w:r w:rsidRPr="00E17B15">
        <w:rPr>
          <w:rFonts w:ascii="Palatino Linotype" w:hAnsi="Palatino Linotype" w:cs="Times New Roman"/>
          <w:i/>
          <w:iCs/>
          <w:sz w:val="20"/>
          <w:szCs w:val="20"/>
          <w:lang w:val="en-ID"/>
        </w:rPr>
        <w:t xml:space="preserve"> = </w:t>
      </w:r>
      <w:proofErr w:type="spellStart"/>
      <w:r w:rsidRPr="00E17B15">
        <w:rPr>
          <w:rFonts w:ascii="Palatino Linotype" w:hAnsi="Palatino Linotype" w:cs="Times New Roman"/>
          <w:i/>
          <w:iCs/>
          <w:sz w:val="20"/>
          <w:szCs w:val="20"/>
          <w:lang w:val="en-ID"/>
        </w:rPr>
        <w:t>Con_i</w:t>
      </w:r>
      <w:proofErr w:type="spellEnd"/>
      <w:r w:rsidRPr="00E17B15">
        <w:rPr>
          <w:rFonts w:ascii="Palatino Linotype" w:hAnsi="Palatino Linotype" w:cs="Times New Roman"/>
          <w:i/>
          <w:iCs/>
          <w:sz w:val="20"/>
          <w:szCs w:val="20"/>
          <w:lang w:val="en-ID"/>
        </w:rPr>
        <w:t xml:space="preserve"> - Disc_i</w:t>
      </w:r>
    </w:p>
    <w:p w14:paraId="14161316" w14:textId="77777777" w:rsidR="004516CC" w:rsidRPr="00E17B15" w:rsidRDefault="004516CC" w:rsidP="004516CC">
      <w:pPr>
        <w:spacing w:after="0"/>
        <w:ind w:firstLine="284"/>
        <w:jc w:val="both"/>
        <w:rPr>
          <w:rFonts w:ascii="Palatino Linotype" w:hAnsi="Palatino Linotype" w:cs="Times New Roman"/>
          <w:sz w:val="20"/>
          <w:szCs w:val="20"/>
          <w:lang w:val="en-ID"/>
        </w:rPr>
      </w:pPr>
    </w:p>
    <w:p w14:paraId="2DE6FCA6" w14:textId="77777777" w:rsidR="004516CC" w:rsidRPr="00E17B15" w:rsidRDefault="004516CC" w:rsidP="004516CC">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Ranking:</w:t>
      </w:r>
    </w:p>
    <w:p w14:paraId="117734FD" w14:textId="77777777" w:rsidR="004516CC" w:rsidRPr="00E17B15" w:rsidRDefault="004516CC" w:rsidP="004516CC">
      <w:pPr>
        <w:spacing w:after="0"/>
        <w:ind w:firstLine="284"/>
        <w:jc w:val="both"/>
        <w:rPr>
          <w:rFonts w:ascii="Palatino Linotype" w:hAnsi="Palatino Linotype" w:cs="Times New Roman"/>
          <w:i/>
          <w:iCs/>
          <w:sz w:val="20"/>
          <w:szCs w:val="20"/>
          <w:lang w:val="en-ID"/>
        </w:rPr>
      </w:pPr>
      <w:proofErr w:type="spellStart"/>
      <w:r w:rsidRPr="00E17B15">
        <w:rPr>
          <w:rFonts w:ascii="Palatino Linotype" w:hAnsi="Palatino Linotype" w:cs="Times New Roman"/>
          <w:i/>
          <w:iCs/>
          <w:sz w:val="20"/>
          <w:szCs w:val="20"/>
          <w:lang w:val="en-ID"/>
        </w:rPr>
        <w:t>Rank_i</w:t>
      </w:r>
      <w:proofErr w:type="spellEnd"/>
      <w:r w:rsidRPr="00E17B15">
        <w:rPr>
          <w:rFonts w:ascii="Palatino Linotype" w:hAnsi="Palatino Linotype" w:cs="Times New Roman"/>
          <w:i/>
          <w:iCs/>
          <w:sz w:val="20"/>
          <w:szCs w:val="20"/>
          <w:lang w:val="en-ID"/>
        </w:rPr>
        <w:t xml:space="preserve"> = </w:t>
      </w:r>
      <w:proofErr w:type="gramStart"/>
      <w:r w:rsidRPr="00E17B15">
        <w:rPr>
          <w:rFonts w:ascii="Palatino Linotype" w:hAnsi="Palatino Linotype" w:cs="Times New Roman"/>
          <w:i/>
          <w:iCs/>
          <w:sz w:val="20"/>
          <w:szCs w:val="20"/>
          <w:lang w:val="en-ID"/>
        </w:rPr>
        <w:t>rank(</w:t>
      </w:r>
      <w:proofErr w:type="spellStart"/>
      <w:proofErr w:type="gramEnd"/>
      <w:r w:rsidRPr="00E17B15">
        <w:rPr>
          <w:rFonts w:ascii="Palatino Linotype" w:hAnsi="Palatino Linotype" w:cs="Times New Roman"/>
          <w:i/>
          <w:iCs/>
          <w:sz w:val="20"/>
          <w:szCs w:val="20"/>
          <w:lang w:val="en-ID"/>
        </w:rPr>
        <w:t>NF_i</w:t>
      </w:r>
      <w:proofErr w:type="spellEnd"/>
      <w:r w:rsidRPr="00E17B15">
        <w:rPr>
          <w:rFonts w:ascii="Palatino Linotype" w:hAnsi="Palatino Linotype" w:cs="Times New Roman"/>
          <w:i/>
          <w:iCs/>
          <w:sz w:val="20"/>
          <w:szCs w:val="20"/>
          <w:lang w:val="en-ID"/>
        </w:rPr>
        <w:t>)</w:t>
      </w:r>
    </w:p>
    <w:p w14:paraId="253888BB" w14:textId="77777777" w:rsidR="004516CC" w:rsidRPr="00E17B15" w:rsidRDefault="004516CC" w:rsidP="004516CC">
      <w:pPr>
        <w:spacing w:after="0"/>
        <w:ind w:firstLine="284"/>
        <w:jc w:val="both"/>
        <w:rPr>
          <w:rFonts w:ascii="Palatino Linotype" w:hAnsi="Palatino Linotype" w:cs="Times New Roman"/>
          <w:sz w:val="20"/>
          <w:szCs w:val="20"/>
          <w:lang w:val="en-ID"/>
        </w:rPr>
      </w:pPr>
    </w:p>
    <w:p w14:paraId="7DE34541" w14:textId="1C4F0D87" w:rsidR="00A75B50" w:rsidRPr="00E17B15" w:rsidRDefault="00796415" w:rsidP="00A75B50">
      <w:pPr>
        <w:spacing w:after="0"/>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lastRenderedPageBreak/>
        <w:t xml:space="preserve">The function </w:t>
      </w:r>
      <w:proofErr w:type="gramStart"/>
      <w:r w:rsidRPr="00E17B15">
        <w:rPr>
          <w:rFonts w:ascii="Palatino Linotype" w:hAnsi="Palatino Linotype" w:cs="Times New Roman"/>
          <w:sz w:val="20"/>
          <w:szCs w:val="20"/>
          <w:lang w:val="en-ID"/>
        </w:rPr>
        <w:t>rank(</w:t>
      </w:r>
      <w:proofErr w:type="gramEnd"/>
      <w:r w:rsidRPr="00E17B15">
        <w:rPr>
          <w:rFonts w:ascii="Palatino Linotype" w:hAnsi="Palatino Linotype" w:cs="Times New Roman"/>
          <w:sz w:val="20"/>
          <w:szCs w:val="20"/>
          <w:lang w:val="en-ID"/>
        </w:rPr>
        <w:t xml:space="preserve">) is utilized to assign a ranking predicated on the values of </w:t>
      </w:r>
      <w:proofErr w:type="spellStart"/>
      <w:r w:rsidRPr="00E17B15">
        <w:rPr>
          <w:rFonts w:ascii="Palatino Linotype" w:hAnsi="Palatino Linotype" w:cs="Times New Roman"/>
          <w:sz w:val="20"/>
          <w:szCs w:val="20"/>
          <w:lang w:val="en-ID"/>
        </w:rPr>
        <w:t>NF_i</w:t>
      </w:r>
      <w:proofErr w:type="spellEnd"/>
      <w:r w:rsidRPr="00E17B15">
        <w:rPr>
          <w:rFonts w:ascii="Palatino Linotype" w:hAnsi="Palatino Linotype" w:cs="Times New Roman"/>
          <w:sz w:val="20"/>
          <w:szCs w:val="20"/>
          <w:lang w:val="en-ID"/>
        </w:rPr>
        <w:t>.</w:t>
      </w:r>
    </w:p>
    <w:p w14:paraId="2268F2C0" w14:textId="77777777" w:rsidR="00796415" w:rsidRPr="00E17B15" w:rsidRDefault="00796415" w:rsidP="00A75B50">
      <w:pPr>
        <w:spacing w:after="0"/>
        <w:jc w:val="both"/>
        <w:rPr>
          <w:rFonts w:ascii="Palatino Linotype" w:hAnsi="Palatino Linotype" w:cs="Times New Roman"/>
          <w:sz w:val="20"/>
          <w:szCs w:val="20"/>
          <w:lang w:val="en-ID"/>
        </w:rPr>
      </w:pPr>
    </w:p>
    <w:p w14:paraId="6E57DFAC" w14:textId="32CF0A4A" w:rsidR="00A75B50" w:rsidRPr="00E17B15" w:rsidRDefault="00A75B50" w:rsidP="00A75B50">
      <w:pPr>
        <w:spacing w:after="0"/>
        <w:jc w:val="center"/>
        <w:rPr>
          <w:rFonts w:ascii="Palatino Linotype" w:hAnsi="Palatino Linotype" w:cs="Times New Roman"/>
          <w:sz w:val="20"/>
          <w:szCs w:val="20"/>
          <w:lang w:val="en-ID"/>
        </w:rPr>
      </w:pPr>
      <w:r w:rsidRPr="00E17B15">
        <w:rPr>
          <w:rFonts w:ascii="Palatino Linotype" w:hAnsi="Palatino Linotype" w:cs="Times New Roman"/>
          <w:sz w:val="20"/>
          <w:szCs w:val="20"/>
          <w:lang w:val="en-ID"/>
        </w:rPr>
        <w:t>Table 3. Concordance, Net Flow and Ranking</w:t>
      </w:r>
    </w:p>
    <w:tbl>
      <w:tblPr>
        <w:tblW w:w="8846" w:type="dxa"/>
        <w:tblInd w:w="113" w:type="dxa"/>
        <w:tblCellMar>
          <w:left w:w="28" w:type="dxa"/>
          <w:right w:w="28" w:type="dxa"/>
        </w:tblCellMar>
        <w:tblLook w:val="04A0" w:firstRow="1" w:lastRow="0" w:firstColumn="1" w:lastColumn="0" w:noHBand="0" w:noVBand="1"/>
      </w:tblPr>
      <w:tblGrid>
        <w:gridCol w:w="636"/>
        <w:gridCol w:w="686"/>
        <w:gridCol w:w="686"/>
        <w:gridCol w:w="686"/>
        <w:gridCol w:w="686"/>
        <w:gridCol w:w="686"/>
        <w:gridCol w:w="686"/>
        <w:gridCol w:w="686"/>
        <w:gridCol w:w="1126"/>
        <w:gridCol w:w="1076"/>
        <w:gridCol w:w="467"/>
        <w:gridCol w:w="765"/>
      </w:tblGrid>
      <w:tr w:rsidR="00F21764" w:rsidRPr="00E17B15" w14:paraId="6CACFADE" w14:textId="77777777" w:rsidTr="00F21764">
        <w:trPr>
          <w:trHeight w:val="20"/>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A51DA"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Course</w:t>
            </w:r>
          </w:p>
        </w:tc>
        <w:tc>
          <w:tcPr>
            <w:tcW w:w="690" w:type="dxa"/>
            <w:tcBorders>
              <w:top w:val="single" w:sz="4" w:space="0" w:color="auto"/>
              <w:left w:val="nil"/>
              <w:bottom w:val="single" w:sz="4" w:space="0" w:color="auto"/>
              <w:right w:val="single" w:sz="4" w:space="0" w:color="auto"/>
            </w:tcBorders>
            <w:shd w:val="clear" w:color="auto" w:fill="auto"/>
            <w:vAlign w:val="center"/>
            <w:hideMark/>
          </w:tcPr>
          <w:p w14:paraId="5622D244"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Criteria 1</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10E94BC7"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Criteria 2</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610CD94C"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Criteria 3</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44F927CE"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Criteria 4</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2578D298"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Criteria 5</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2733D302"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Criteria 6</w:t>
            </w:r>
          </w:p>
        </w:tc>
        <w:tc>
          <w:tcPr>
            <w:tcW w:w="699" w:type="dxa"/>
            <w:tcBorders>
              <w:top w:val="single" w:sz="4" w:space="0" w:color="auto"/>
              <w:left w:val="nil"/>
              <w:bottom w:val="single" w:sz="4" w:space="0" w:color="auto"/>
              <w:right w:val="single" w:sz="4" w:space="0" w:color="auto"/>
            </w:tcBorders>
            <w:shd w:val="clear" w:color="auto" w:fill="auto"/>
            <w:vAlign w:val="center"/>
            <w:hideMark/>
          </w:tcPr>
          <w:p w14:paraId="0A32B9A3"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Criteria 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70867BF"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Concordance Index</w:t>
            </w:r>
          </w:p>
        </w:tc>
        <w:tc>
          <w:tcPr>
            <w:tcW w:w="1059" w:type="dxa"/>
            <w:tcBorders>
              <w:top w:val="single" w:sz="4" w:space="0" w:color="auto"/>
              <w:left w:val="nil"/>
              <w:bottom w:val="single" w:sz="4" w:space="0" w:color="auto"/>
              <w:right w:val="single" w:sz="4" w:space="0" w:color="auto"/>
            </w:tcBorders>
            <w:shd w:val="clear" w:color="auto" w:fill="auto"/>
            <w:vAlign w:val="center"/>
            <w:hideMark/>
          </w:tcPr>
          <w:p w14:paraId="7880F9CD"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Discordance Index</w:t>
            </w:r>
          </w:p>
        </w:tc>
        <w:tc>
          <w:tcPr>
            <w:tcW w:w="501" w:type="dxa"/>
            <w:tcBorders>
              <w:top w:val="single" w:sz="4" w:space="0" w:color="auto"/>
              <w:left w:val="nil"/>
              <w:bottom w:val="single" w:sz="4" w:space="0" w:color="auto"/>
              <w:right w:val="single" w:sz="4" w:space="0" w:color="auto"/>
            </w:tcBorders>
            <w:shd w:val="clear" w:color="auto" w:fill="auto"/>
            <w:vAlign w:val="center"/>
            <w:hideMark/>
          </w:tcPr>
          <w:p w14:paraId="06FC3180" w14:textId="77777777" w:rsidR="00A75B50" w:rsidRPr="00E17B15" w:rsidRDefault="00A75B50" w:rsidP="00F21764">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Net Flow</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1403B114" w14:textId="77777777" w:rsidR="00A75B50" w:rsidRPr="00E17B15" w:rsidRDefault="00A75B50" w:rsidP="00A75B50">
            <w:pPr>
              <w:spacing w:after="0" w:line="240" w:lineRule="auto"/>
              <w:jc w:val="center"/>
              <w:rPr>
                <w:rFonts w:ascii="Palatino Linotype" w:eastAsia="Times New Roman" w:hAnsi="Palatino Linotype" w:cs="Times New Roman"/>
                <w:b/>
                <w:bCs/>
                <w:color w:val="374151"/>
                <w:sz w:val="18"/>
                <w:szCs w:val="18"/>
                <w:lang w:val="en-ID" w:eastAsia="zh-CN"/>
              </w:rPr>
            </w:pPr>
            <w:r w:rsidRPr="00E17B15">
              <w:rPr>
                <w:rFonts w:ascii="Palatino Linotype" w:eastAsia="Times New Roman" w:hAnsi="Palatino Linotype" w:cs="Times New Roman"/>
                <w:b/>
                <w:bCs/>
                <w:color w:val="374151"/>
                <w:sz w:val="18"/>
                <w:szCs w:val="18"/>
                <w:lang w:val="en-ID" w:eastAsia="zh-CN"/>
              </w:rPr>
              <w:t>Ranking</w:t>
            </w:r>
          </w:p>
        </w:tc>
      </w:tr>
      <w:tr w:rsidR="00F21764" w:rsidRPr="00E17B15" w14:paraId="36F84D76" w14:textId="77777777" w:rsidTr="00F21764">
        <w:trPr>
          <w:trHeight w:val="20"/>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4321161A" w14:textId="77777777" w:rsidR="00A75B50" w:rsidRPr="00E17B15" w:rsidRDefault="00A75B50" w:rsidP="00A75B50">
            <w:pPr>
              <w:spacing w:after="0" w:line="240" w:lineRule="auto"/>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Course A</w:t>
            </w:r>
          </w:p>
        </w:tc>
        <w:tc>
          <w:tcPr>
            <w:tcW w:w="690" w:type="dxa"/>
            <w:tcBorders>
              <w:top w:val="nil"/>
              <w:left w:val="nil"/>
              <w:bottom w:val="single" w:sz="4" w:space="0" w:color="auto"/>
              <w:right w:val="single" w:sz="4" w:space="0" w:color="auto"/>
            </w:tcBorders>
            <w:shd w:val="clear" w:color="auto" w:fill="auto"/>
            <w:vAlign w:val="center"/>
            <w:hideMark/>
          </w:tcPr>
          <w:p w14:paraId="6759BC3C"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76" w:type="dxa"/>
            <w:tcBorders>
              <w:top w:val="nil"/>
              <w:left w:val="nil"/>
              <w:bottom w:val="single" w:sz="4" w:space="0" w:color="auto"/>
              <w:right w:val="single" w:sz="4" w:space="0" w:color="auto"/>
            </w:tcBorders>
            <w:shd w:val="clear" w:color="auto" w:fill="auto"/>
            <w:vAlign w:val="center"/>
            <w:hideMark/>
          </w:tcPr>
          <w:p w14:paraId="78972D00"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76" w:type="dxa"/>
            <w:tcBorders>
              <w:top w:val="nil"/>
              <w:left w:val="nil"/>
              <w:bottom w:val="single" w:sz="4" w:space="0" w:color="auto"/>
              <w:right w:val="single" w:sz="4" w:space="0" w:color="auto"/>
            </w:tcBorders>
            <w:shd w:val="clear" w:color="auto" w:fill="auto"/>
            <w:vAlign w:val="center"/>
            <w:hideMark/>
          </w:tcPr>
          <w:p w14:paraId="5AA645B8"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676" w:type="dxa"/>
            <w:tcBorders>
              <w:top w:val="nil"/>
              <w:left w:val="nil"/>
              <w:bottom w:val="single" w:sz="4" w:space="0" w:color="auto"/>
              <w:right w:val="single" w:sz="4" w:space="0" w:color="auto"/>
            </w:tcBorders>
            <w:shd w:val="clear" w:color="auto" w:fill="auto"/>
            <w:vAlign w:val="center"/>
            <w:hideMark/>
          </w:tcPr>
          <w:p w14:paraId="37CD9343"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0.9</w:t>
            </w:r>
          </w:p>
        </w:tc>
        <w:tc>
          <w:tcPr>
            <w:tcW w:w="676" w:type="dxa"/>
            <w:tcBorders>
              <w:top w:val="nil"/>
              <w:left w:val="nil"/>
              <w:bottom w:val="single" w:sz="4" w:space="0" w:color="auto"/>
              <w:right w:val="single" w:sz="4" w:space="0" w:color="auto"/>
            </w:tcBorders>
            <w:shd w:val="clear" w:color="auto" w:fill="auto"/>
            <w:vAlign w:val="center"/>
            <w:hideMark/>
          </w:tcPr>
          <w:p w14:paraId="64974F00"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76" w:type="dxa"/>
            <w:tcBorders>
              <w:top w:val="nil"/>
              <w:left w:val="nil"/>
              <w:bottom w:val="single" w:sz="4" w:space="0" w:color="auto"/>
              <w:right w:val="single" w:sz="4" w:space="0" w:color="auto"/>
            </w:tcBorders>
            <w:shd w:val="clear" w:color="auto" w:fill="auto"/>
            <w:vAlign w:val="center"/>
            <w:hideMark/>
          </w:tcPr>
          <w:p w14:paraId="1BBE8ECA"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99" w:type="dxa"/>
            <w:tcBorders>
              <w:top w:val="nil"/>
              <w:left w:val="nil"/>
              <w:bottom w:val="single" w:sz="4" w:space="0" w:color="auto"/>
              <w:right w:val="single" w:sz="4" w:space="0" w:color="auto"/>
            </w:tcBorders>
            <w:shd w:val="clear" w:color="auto" w:fill="auto"/>
            <w:vAlign w:val="center"/>
            <w:hideMark/>
          </w:tcPr>
          <w:p w14:paraId="7878A269"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1134" w:type="dxa"/>
            <w:tcBorders>
              <w:top w:val="nil"/>
              <w:left w:val="nil"/>
              <w:bottom w:val="single" w:sz="4" w:space="0" w:color="auto"/>
              <w:right w:val="single" w:sz="4" w:space="0" w:color="auto"/>
            </w:tcBorders>
            <w:shd w:val="clear" w:color="auto" w:fill="auto"/>
            <w:vAlign w:val="center"/>
            <w:hideMark/>
          </w:tcPr>
          <w:p w14:paraId="46FB9DD7"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0.72</w:t>
            </w:r>
          </w:p>
        </w:tc>
        <w:tc>
          <w:tcPr>
            <w:tcW w:w="1059" w:type="dxa"/>
            <w:tcBorders>
              <w:top w:val="nil"/>
              <w:left w:val="nil"/>
              <w:bottom w:val="single" w:sz="4" w:space="0" w:color="auto"/>
              <w:right w:val="single" w:sz="4" w:space="0" w:color="auto"/>
            </w:tcBorders>
            <w:shd w:val="clear" w:color="auto" w:fill="auto"/>
            <w:vAlign w:val="center"/>
            <w:hideMark/>
          </w:tcPr>
          <w:p w14:paraId="3DE31926"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0.01</w:t>
            </w:r>
          </w:p>
        </w:tc>
        <w:tc>
          <w:tcPr>
            <w:tcW w:w="501" w:type="dxa"/>
            <w:tcBorders>
              <w:top w:val="nil"/>
              <w:left w:val="nil"/>
              <w:bottom w:val="single" w:sz="4" w:space="0" w:color="auto"/>
              <w:right w:val="single" w:sz="4" w:space="0" w:color="auto"/>
            </w:tcBorders>
            <w:shd w:val="clear" w:color="auto" w:fill="auto"/>
            <w:vAlign w:val="center"/>
            <w:hideMark/>
          </w:tcPr>
          <w:p w14:paraId="4C488AB0"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0.71</w:t>
            </w:r>
          </w:p>
        </w:tc>
        <w:tc>
          <w:tcPr>
            <w:tcW w:w="567" w:type="dxa"/>
            <w:tcBorders>
              <w:top w:val="nil"/>
              <w:left w:val="nil"/>
              <w:bottom w:val="single" w:sz="4" w:space="0" w:color="auto"/>
              <w:right w:val="single" w:sz="4" w:space="0" w:color="auto"/>
            </w:tcBorders>
            <w:shd w:val="clear" w:color="auto" w:fill="auto"/>
            <w:vAlign w:val="center"/>
            <w:hideMark/>
          </w:tcPr>
          <w:p w14:paraId="15FD7182"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2</w:t>
            </w:r>
          </w:p>
        </w:tc>
      </w:tr>
      <w:tr w:rsidR="00F21764" w:rsidRPr="00E17B15" w14:paraId="155646C4" w14:textId="77777777" w:rsidTr="00461AE9">
        <w:trPr>
          <w:trHeight w:val="20"/>
        </w:trPr>
        <w:tc>
          <w:tcPr>
            <w:tcW w:w="816" w:type="dxa"/>
            <w:tcBorders>
              <w:top w:val="nil"/>
              <w:left w:val="single" w:sz="4" w:space="0" w:color="auto"/>
              <w:bottom w:val="single" w:sz="4" w:space="0" w:color="auto"/>
              <w:right w:val="single" w:sz="4" w:space="0" w:color="auto"/>
            </w:tcBorders>
            <w:shd w:val="clear" w:color="auto" w:fill="FFFF00"/>
            <w:vAlign w:val="center"/>
            <w:hideMark/>
          </w:tcPr>
          <w:p w14:paraId="6EC07B69" w14:textId="77777777" w:rsidR="00A75B50" w:rsidRPr="00E17B15" w:rsidRDefault="00A75B50" w:rsidP="00A75B50">
            <w:pPr>
              <w:spacing w:after="0" w:line="240" w:lineRule="auto"/>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Course B</w:t>
            </w:r>
          </w:p>
        </w:tc>
        <w:tc>
          <w:tcPr>
            <w:tcW w:w="690" w:type="dxa"/>
            <w:tcBorders>
              <w:top w:val="nil"/>
              <w:left w:val="nil"/>
              <w:bottom w:val="single" w:sz="4" w:space="0" w:color="auto"/>
              <w:right w:val="single" w:sz="4" w:space="0" w:color="auto"/>
            </w:tcBorders>
            <w:shd w:val="clear" w:color="auto" w:fill="FFFF00"/>
            <w:vAlign w:val="center"/>
            <w:hideMark/>
          </w:tcPr>
          <w:p w14:paraId="694B5949"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676" w:type="dxa"/>
            <w:tcBorders>
              <w:top w:val="nil"/>
              <w:left w:val="nil"/>
              <w:bottom w:val="single" w:sz="4" w:space="0" w:color="auto"/>
              <w:right w:val="single" w:sz="4" w:space="0" w:color="auto"/>
            </w:tcBorders>
            <w:shd w:val="clear" w:color="auto" w:fill="FFFF00"/>
            <w:vAlign w:val="center"/>
            <w:hideMark/>
          </w:tcPr>
          <w:p w14:paraId="0AAD4653"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0.9</w:t>
            </w:r>
          </w:p>
        </w:tc>
        <w:tc>
          <w:tcPr>
            <w:tcW w:w="676" w:type="dxa"/>
            <w:tcBorders>
              <w:top w:val="nil"/>
              <w:left w:val="nil"/>
              <w:bottom w:val="single" w:sz="4" w:space="0" w:color="auto"/>
              <w:right w:val="single" w:sz="4" w:space="0" w:color="auto"/>
            </w:tcBorders>
            <w:shd w:val="clear" w:color="auto" w:fill="FFFF00"/>
            <w:vAlign w:val="center"/>
            <w:hideMark/>
          </w:tcPr>
          <w:p w14:paraId="346F9AD8"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76" w:type="dxa"/>
            <w:tcBorders>
              <w:top w:val="nil"/>
              <w:left w:val="nil"/>
              <w:bottom w:val="single" w:sz="4" w:space="0" w:color="auto"/>
              <w:right w:val="single" w:sz="4" w:space="0" w:color="auto"/>
            </w:tcBorders>
            <w:shd w:val="clear" w:color="auto" w:fill="FFFF00"/>
            <w:vAlign w:val="center"/>
            <w:hideMark/>
          </w:tcPr>
          <w:p w14:paraId="38942F41"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676" w:type="dxa"/>
            <w:tcBorders>
              <w:top w:val="nil"/>
              <w:left w:val="nil"/>
              <w:bottom w:val="single" w:sz="4" w:space="0" w:color="auto"/>
              <w:right w:val="single" w:sz="4" w:space="0" w:color="auto"/>
            </w:tcBorders>
            <w:shd w:val="clear" w:color="auto" w:fill="FFFF00"/>
            <w:vAlign w:val="center"/>
            <w:hideMark/>
          </w:tcPr>
          <w:p w14:paraId="27E5A1D6"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76" w:type="dxa"/>
            <w:tcBorders>
              <w:top w:val="nil"/>
              <w:left w:val="nil"/>
              <w:bottom w:val="single" w:sz="4" w:space="0" w:color="auto"/>
              <w:right w:val="single" w:sz="4" w:space="0" w:color="auto"/>
            </w:tcBorders>
            <w:shd w:val="clear" w:color="auto" w:fill="FFFF00"/>
            <w:vAlign w:val="center"/>
            <w:hideMark/>
          </w:tcPr>
          <w:p w14:paraId="2F7E64B0"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99" w:type="dxa"/>
            <w:tcBorders>
              <w:top w:val="nil"/>
              <w:left w:val="nil"/>
              <w:bottom w:val="single" w:sz="4" w:space="0" w:color="auto"/>
              <w:right w:val="single" w:sz="4" w:space="0" w:color="auto"/>
            </w:tcBorders>
            <w:shd w:val="clear" w:color="auto" w:fill="FFFF00"/>
            <w:vAlign w:val="center"/>
            <w:hideMark/>
          </w:tcPr>
          <w:p w14:paraId="1EE97487"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0.9</w:t>
            </w:r>
          </w:p>
        </w:tc>
        <w:tc>
          <w:tcPr>
            <w:tcW w:w="1134" w:type="dxa"/>
            <w:tcBorders>
              <w:top w:val="nil"/>
              <w:left w:val="nil"/>
              <w:bottom w:val="single" w:sz="4" w:space="0" w:color="auto"/>
              <w:right w:val="single" w:sz="4" w:space="0" w:color="auto"/>
            </w:tcBorders>
            <w:shd w:val="clear" w:color="auto" w:fill="FFFF00"/>
            <w:vAlign w:val="center"/>
            <w:hideMark/>
          </w:tcPr>
          <w:p w14:paraId="7D28288B"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0.78</w:t>
            </w:r>
          </w:p>
        </w:tc>
        <w:tc>
          <w:tcPr>
            <w:tcW w:w="1059" w:type="dxa"/>
            <w:tcBorders>
              <w:top w:val="nil"/>
              <w:left w:val="nil"/>
              <w:bottom w:val="single" w:sz="4" w:space="0" w:color="auto"/>
              <w:right w:val="single" w:sz="4" w:space="0" w:color="auto"/>
            </w:tcBorders>
            <w:shd w:val="clear" w:color="auto" w:fill="FFFF00"/>
            <w:vAlign w:val="center"/>
            <w:hideMark/>
          </w:tcPr>
          <w:p w14:paraId="08A863F8"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0.03</w:t>
            </w:r>
          </w:p>
        </w:tc>
        <w:tc>
          <w:tcPr>
            <w:tcW w:w="501" w:type="dxa"/>
            <w:tcBorders>
              <w:top w:val="nil"/>
              <w:left w:val="nil"/>
              <w:bottom w:val="single" w:sz="4" w:space="0" w:color="auto"/>
              <w:right w:val="single" w:sz="4" w:space="0" w:color="auto"/>
            </w:tcBorders>
            <w:shd w:val="clear" w:color="auto" w:fill="FFFF00"/>
            <w:vAlign w:val="center"/>
            <w:hideMark/>
          </w:tcPr>
          <w:p w14:paraId="3F0FE428"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0.75</w:t>
            </w:r>
          </w:p>
        </w:tc>
        <w:tc>
          <w:tcPr>
            <w:tcW w:w="567" w:type="dxa"/>
            <w:tcBorders>
              <w:top w:val="nil"/>
              <w:left w:val="nil"/>
              <w:bottom w:val="single" w:sz="4" w:space="0" w:color="auto"/>
              <w:right w:val="single" w:sz="4" w:space="0" w:color="auto"/>
            </w:tcBorders>
            <w:shd w:val="clear" w:color="auto" w:fill="FFFF00"/>
            <w:vAlign w:val="center"/>
            <w:hideMark/>
          </w:tcPr>
          <w:p w14:paraId="5FB09BCF"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1</w:t>
            </w:r>
          </w:p>
        </w:tc>
      </w:tr>
      <w:tr w:rsidR="00F21764" w:rsidRPr="00E17B15" w14:paraId="47FFA25B" w14:textId="77777777" w:rsidTr="00F21764">
        <w:trPr>
          <w:trHeight w:val="20"/>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9E59CA1" w14:textId="77777777" w:rsidR="00A75B50" w:rsidRPr="00E17B15" w:rsidRDefault="00A75B50" w:rsidP="00A75B50">
            <w:pPr>
              <w:spacing w:after="0" w:line="240" w:lineRule="auto"/>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Course C</w:t>
            </w:r>
          </w:p>
        </w:tc>
        <w:tc>
          <w:tcPr>
            <w:tcW w:w="690" w:type="dxa"/>
            <w:tcBorders>
              <w:top w:val="nil"/>
              <w:left w:val="nil"/>
              <w:bottom w:val="single" w:sz="4" w:space="0" w:color="auto"/>
              <w:right w:val="single" w:sz="4" w:space="0" w:color="auto"/>
            </w:tcBorders>
            <w:shd w:val="clear" w:color="auto" w:fill="auto"/>
            <w:vAlign w:val="center"/>
            <w:hideMark/>
          </w:tcPr>
          <w:p w14:paraId="68B694A4"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76" w:type="dxa"/>
            <w:tcBorders>
              <w:top w:val="nil"/>
              <w:left w:val="nil"/>
              <w:bottom w:val="single" w:sz="4" w:space="0" w:color="auto"/>
              <w:right w:val="single" w:sz="4" w:space="0" w:color="auto"/>
            </w:tcBorders>
            <w:shd w:val="clear" w:color="auto" w:fill="auto"/>
            <w:vAlign w:val="center"/>
            <w:hideMark/>
          </w:tcPr>
          <w:p w14:paraId="3F7154B5"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676" w:type="dxa"/>
            <w:tcBorders>
              <w:top w:val="nil"/>
              <w:left w:val="nil"/>
              <w:bottom w:val="single" w:sz="4" w:space="0" w:color="auto"/>
              <w:right w:val="single" w:sz="4" w:space="0" w:color="auto"/>
            </w:tcBorders>
            <w:shd w:val="clear" w:color="auto" w:fill="auto"/>
            <w:vAlign w:val="center"/>
            <w:hideMark/>
          </w:tcPr>
          <w:p w14:paraId="79CB8AA1"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76" w:type="dxa"/>
            <w:tcBorders>
              <w:top w:val="nil"/>
              <w:left w:val="nil"/>
              <w:bottom w:val="single" w:sz="4" w:space="0" w:color="auto"/>
              <w:right w:val="single" w:sz="4" w:space="0" w:color="auto"/>
            </w:tcBorders>
            <w:shd w:val="clear" w:color="auto" w:fill="auto"/>
            <w:vAlign w:val="center"/>
            <w:hideMark/>
          </w:tcPr>
          <w:p w14:paraId="10922B64"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76" w:type="dxa"/>
            <w:tcBorders>
              <w:top w:val="nil"/>
              <w:left w:val="nil"/>
              <w:bottom w:val="single" w:sz="4" w:space="0" w:color="auto"/>
              <w:right w:val="single" w:sz="4" w:space="0" w:color="auto"/>
            </w:tcBorders>
            <w:shd w:val="clear" w:color="auto" w:fill="auto"/>
            <w:vAlign w:val="center"/>
            <w:hideMark/>
          </w:tcPr>
          <w:p w14:paraId="52975A31"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676" w:type="dxa"/>
            <w:tcBorders>
              <w:top w:val="nil"/>
              <w:left w:val="nil"/>
              <w:bottom w:val="single" w:sz="4" w:space="0" w:color="auto"/>
              <w:right w:val="single" w:sz="4" w:space="0" w:color="auto"/>
            </w:tcBorders>
            <w:shd w:val="clear" w:color="auto" w:fill="auto"/>
            <w:vAlign w:val="center"/>
            <w:hideMark/>
          </w:tcPr>
          <w:p w14:paraId="136BF2DA"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699" w:type="dxa"/>
            <w:tcBorders>
              <w:top w:val="nil"/>
              <w:left w:val="nil"/>
              <w:bottom w:val="single" w:sz="4" w:space="0" w:color="auto"/>
              <w:right w:val="single" w:sz="4" w:space="0" w:color="auto"/>
            </w:tcBorders>
            <w:shd w:val="clear" w:color="auto" w:fill="auto"/>
            <w:vAlign w:val="center"/>
            <w:hideMark/>
          </w:tcPr>
          <w:p w14:paraId="2F506200"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1134" w:type="dxa"/>
            <w:tcBorders>
              <w:top w:val="nil"/>
              <w:left w:val="nil"/>
              <w:bottom w:val="single" w:sz="4" w:space="0" w:color="auto"/>
              <w:right w:val="single" w:sz="4" w:space="0" w:color="auto"/>
            </w:tcBorders>
            <w:shd w:val="clear" w:color="auto" w:fill="auto"/>
            <w:vAlign w:val="center"/>
            <w:hideMark/>
          </w:tcPr>
          <w:p w14:paraId="39CC5472"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0.71</w:t>
            </w:r>
          </w:p>
        </w:tc>
        <w:tc>
          <w:tcPr>
            <w:tcW w:w="1059" w:type="dxa"/>
            <w:tcBorders>
              <w:top w:val="nil"/>
              <w:left w:val="nil"/>
              <w:bottom w:val="single" w:sz="4" w:space="0" w:color="auto"/>
              <w:right w:val="single" w:sz="4" w:space="0" w:color="auto"/>
            </w:tcBorders>
            <w:shd w:val="clear" w:color="auto" w:fill="auto"/>
            <w:vAlign w:val="center"/>
            <w:hideMark/>
          </w:tcPr>
          <w:p w14:paraId="6ED066F6"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0.02</w:t>
            </w:r>
          </w:p>
        </w:tc>
        <w:tc>
          <w:tcPr>
            <w:tcW w:w="501" w:type="dxa"/>
            <w:tcBorders>
              <w:top w:val="nil"/>
              <w:left w:val="nil"/>
              <w:bottom w:val="single" w:sz="4" w:space="0" w:color="auto"/>
              <w:right w:val="single" w:sz="4" w:space="0" w:color="auto"/>
            </w:tcBorders>
            <w:shd w:val="clear" w:color="auto" w:fill="auto"/>
            <w:vAlign w:val="center"/>
            <w:hideMark/>
          </w:tcPr>
          <w:p w14:paraId="4C0AEB7F"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0.69</w:t>
            </w:r>
          </w:p>
        </w:tc>
        <w:tc>
          <w:tcPr>
            <w:tcW w:w="567" w:type="dxa"/>
            <w:tcBorders>
              <w:top w:val="nil"/>
              <w:left w:val="nil"/>
              <w:bottom w:val="single" w:sz="4" w:space="0" w:color="auto"/>
              <w:right w:val="single" w:sz="4" w:space="0" w:color="auto"/>
            </w:tcBorders>
            <w:shd w:val="clear" w:color="auto" w:fill="auto"/>
            <w:vAlign w:val="center"/>
            <w:hideMark/>
          </w:tcPr>
          <w:p w14:paraId="59F931FD"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3</w:t>
            </w:r>
          </w:p>
        </w:tc>
      </w:tr>
      <w:tr w:rsidR="00F21764" w:rsidRPr="00E17B15" w14:paraId="2779E465" w14:textId="77777777" w:rsidTr="00461AE9">
        <w:trPr>
          <w:trHeight w:val="20"/>
        </w:trPr>
        <w:tc>
          <w:tcPr>
            <w:tcW w:w="816" w:type="dxa"/>
            <w:tcBorders>
              <w:top w:val="nil"/>
              <w:left w:val="single" w:sz="4" w:space="0" w:color="auto"/>
              <w:bottom w:val="single" w:sz="4" w:space="0" w:color="auto"/>
              <w:right w:val="single" w:sz="4" w:space="0" w:color="auto"/>
            </w:tcBorders>
            <w:shd w:val="clear" w:color="auto" w:fill="FFFF00"/>
            <w:vAlign w:val="center"/>
            <w:hideMark/>
          </w:tcPr>
          <w:p w14:paraId="35046908" w14:textId="77777777" w:rsidR="00A75B50" w:rsidRPr="00E17B15" w:rsidRDefault="00A75B50" w:rsidP="00A75B50">
            <w:pPr>
              <w:spacing w:after="0" w:line="240" w:lineRule="auto"/>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Course D</w:t>
            </w:r>
          </w:p>
        </w:tc>
        <w:tc>
          <w:tcPr>
            <w:tcW w:w="690" w:type="dxa"/>
            <w:tcBorders>
              <w:top w:val="nil"/>
              <w:left w:val="nil"/>
              <w:bottom w:val="single" w:sz="4" w:space="0" w:color="auto"/>
              <w:right w:val="single" w:sz="4" w:space="0" w:color="auto"/>
            </w:tcBorders>
            <w:shd w:val="clear" w:color="auto" w:fill="FFFF00"/>
            <w:vAlign w:val="center"/>
            <w:hideMark/>
          </w:tcPr>
          <w:p w14:paraId="053E27EF"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0.9</w:t>
            </w:r>
          </w:p>
        </w:tc>
        <w:tc>
          <w:tcPr>
            <w:tcW w:w="676" w:type="dxa"/>
            <w:tcBorders>
              <w:top w:val="nil"/>
              <w:left w:val="nil"/>
              <w:bottom w:val="single" w:sz="4" w:space="0" w:color="auto"/>
              <w:right w:val="single" w:sz="4" w:space="0" w:color="auto"/>
            </w:tcBorders>
            <w:shd w:val="clear" w:color="auto" w:fill="FFFF00"/>
            <w:vAlign w:val="center"/>
            <w:hideMark/>
          </w:tcPr>
          <w:p w14:paraId="3C8EAF00"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76" w:type="dxa"/>
            <w:tcBorders>
              <w:top w:val="nil"/>
              <w:left w:val="nil"/>
              <w:bottom w:val="single" w:sz="4" w:space="0" w:color="auto"/>
              <w:right w:val="single" w:sz="4" w:space="0" w:color="auto"/>
            </w:tcBorders>
            <w:shd w:val="clear" w:color="auto" w:fill="FFFF00"/>
            <w:vAlign w:val="center"/>
            <w:hideMark/>
          </w:tcPr>
          <w:p w14:paraId="48DC6F29"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76" w:type="dxa"/>
            <w:tcBorders>
              <w:top w:val="nil"/>
              <w:left w:val="nil"/>
              <w:bottom w:val="single" w:sz="4" w:space="0" w:color="auto"/>
              <w:right w:val="single" w:sz="4" w:space="0" w:color="auto"/>
            </w:tcBorders>
            <w:shd w:val="clear" w:color="auto" w:fill="FFFF00"/>
            <w:vAlign w:val="center"/>
            <w:hideMark/>
          </w:tcPr>
          <w:p w14:paraId="4BA161C5"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76" w:type="dxa"/>
            <w:tcBorders>
              <w:top w:val="nil"/>
              <w:left w:val="nil"/>
              <w:bottom w:val="single" w:sz="4" w:space="0" w:color="auto"/>
              <w:right w:val="single" w:sz="4" w:space="0" w:color="auto"/>
            </w:tcBorders>
            <w:shd w:val="clear" w:color="auto" w:fill="FFFF00"/>
            <w:vAlign w:val="center"/>
            <w:hideMark/>
          </w:tcPr>
          <w:p w14:paraId="09308F4C"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0.9</w:t>
            </w:r>
          </w:p>
        </w:tc>
        <w:tc>
          <w:tcPr>
            <w:tcW w:w="676" w:type="dxa"/>
            <w:tcBorders>
              <w:top w:val="nil"/>
              <w:left w:val="nil"/>
              <w:bottom w:val="single" w:sz="4" w:space="0" w:color="auto"/>
              <w:right w:val="single" w:sz="4" w:space="0" w:color="auto"/>
            </w:tcBorders>
            <w:shd w:val="clear" w:color="auto" w:fill="FFFF00"/>
            <w:vAlign w:val="center"/>
            <w:hideMark/>
          </w:tcPr>
          <w:p w14:paraId="26F60A16"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0.9</w:t>
            </w:r>
          </w:p>
        </w:tc>
        <w:tc>
          <w:tcPr>
            <w:tcW w:w="699" w:type="dxa"/>
            <w:tcBorders>
              <w:top w:val="nil"/>
              <w:left w:val="nil"/>
              <w:bottom w:val="single" w:sz="4" w:space="0" w:color="auto"/>
              <w:right w:val="single" w:sz="4" w:space="0" w:color="auto"/>
            </w:tcBorders>
            <w:shd w:val="clear" w:color="auto" w:fill="FFFF00"/>
            <w:vAlign w:val="center"/>
            <w:hideMark/>
          </w:tcPr>
          <w:p w14:paraId="47EDBFAA"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1134" w:type="dxa"/>
            <w:tcBorders>
              <w:top w:val="nil"/>
              <w:left w:val="nil"/>
              <w:bottom w:val="single" w:sz="4" w:space="0" w:color="auto"/>
              <w:right w:val="single" w:sz="4" w:space="0" w:color="auto"/>
            </w:tcBorders>
            <w:shd w:val="clear" w:color="auto" w:fill="FFFF00"/>
            <w:vAlign w:val="center"/>
            <w:hideMark/>
          </w:tcPr>
          <w:p w14:paraId="06DEB627"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0.78</w:t>
            </w:r>
          </w:p>
        </w:tc>
        <w:tc>
          <w:tcPr>
            <w:tcW w:w="1059" w:type="dxa"/>
            <w:tcBorders>
              <w:top w:val="nil"/>
              <w:left w:val="nil"/>
              <w:bottom w:val="single" w:sz="4" w:space="0" w:color="auto"/>
              <w:right w:val="single" w:sz="4" w:space="0" w:color="auto"/>
            </w:tcBorders>
            <w:shd w:val="clear" w:color="auto" w:fill="FFFF00"/>
            <w:vAlign w:val="center"/>
            <w:hideMark/>
          </w:tcPr>
          <w:p w14:paraId="28FE9E08"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0.01</w:t>
            </w:r>
          </w:p>
        </w:tc>
        <w:tc>
          <w:tcPr>
            <w:tcW w:w="501" w:type="dxa"/>
            <w:tcBorders>
              <w:top w:val="nil"/>
              <w:left w:val="nil"/>
              <w:bottom w:val="single" w:sz="4" w:space="0" w:color="auto"/>
              <w:right w:val="single" w:sz="4" w:space="0" w:color="auto"/>
            </w:tcBorders>
            <w:shd w:val="clear" w:color="auto" w:fill="FFFF00"/>
            <w:vAlign w:val="center"/>
            <w:hideMark/>
          </w:tcPr>
          <w:p w14:paraId="4B0164A9"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0.80</w:t>
            </w:r>
          </w:p>
        </w:tc>
        <w:tc>
          <w:tcPr>
            <w:tcW w:w="567" w:type="dxa"/>
            <w:tcBorders>
              <w:top w:val="nil"/>
              <w:left w:val="nil"/>
              <w:bottom w:val="single" w:sz="4" w:space="0" w:color="auto"/>
              <w:right w:val="single" w:sz="4" w:space="0" w:color="auto"/>
            </w:tcBorders>
            <w:shd w:val="clear" w:color="auto" w:fill="FFFF00"/>
            <w:vAlign w:val="center"/>
            <w:hideMark/>
          </w:tcPr>
          <w:p w14:paraId="0F7F7360"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1</w:t>
            </w:r>
          </w:p>
        </w:tc>
      </w:tr>
      <w:tr w:rsidR="00F21764" w:rsidRPr="00E17B15" w14:paraId="3ADF6F4F" w14:textId="77777777" w:rsidTr="00F21764">
        <w:trPr>
          <w:trHeight w:val="20"/>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0A3BCB37" w14:textId="77777777" w:rsidR="00A75B50" w:rsidRPr="00E17B15" w:rsidRDefault="00A75B50" w:rsidP="00A75B50">
            <w:pPr>
              <w:spacing w:after="0" w:line="240" w:lineRule="auto"/>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Course E</w:t>
            </w:r>
          </w:p>
        </w:tc>
        <w:tc>
          <w:tcPr>
            <w:tcW w:w="690" w:type="dxa"/>
            <w:tcBorders>
              <w:top w:val="nil"/>
              <w:left w:val="nil"/>
              <w:bottom w:val="single" w:sz="4" w:space="0" w:color="auto"/>
              <w:right w:val="single" w:sz="4" w:space="0" w:color="auto"/>
            </w:tcBorders>
            <w:shd w:val="clear" w:color="auto" w:fill="auto"/>
            <w:vAlign w:val="center"/>
            <w:hideMark/>
          </w:tcPr>
          <w:p w14:paraId="32EFAC43"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76" w:type="dxa"/>
            <w:tcBorders>
              <w:top w:val="nil"/>
              <w:left w:val="nil"/>
              <w:bottom w:val="single" w:sz="4" w:space="0" w:color="auto"/>
              <w:right w:val="single" w:sz="4" w:space="0" w:color="auto"/>
            </w:tcBorders>
            <w:shd w:val="clear" w:color="auto" w:fill="auto"/>
            <w:vAlign w:val="center"/>
            <w:hideMark/>
          </w:tcPr>
          <w:p w14:paraId="2FB0516B"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76" w:type="dxa"/>
            <w:tcBorders>
              <w:top w:val="nil"/>
              <w:left w:val="nil"/>
              <w:bottom w:val="single" w:sz="4" w:space="0" w:color="auto"/>
              <w:right w:val="single" w:sz="4" w:space="0" w:color="auto"/>
            </w:tcBorders>
            <w:shd w:val="clear" w:color="auto" w:fill="auto"/>
            <w:vAlign w:val="center"/>
            <w:hideMark/>
          </w:tcPr>
          <w:p w14:paraId="1A304FDD"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676" w:type="dxa"/>
            <w:tcBorders>
              <w:top w:val="nil"/>
              <w:left w:val="nil"/>
              <w:bottom w:val="single" w:sz="4" w:space="0" w:color="auto"/>
              <w:right w:val="single" w:sz="4" w:space="0" w:color="auto"/>
            </w:tcBorders>
            <w:shd w:val="clear" w:color="auto" w:fill="auto"/>
            <w:vAlign w:val="center"/>
            <w:hideMark/>
          </w:tcPr>
          <w:p w14:paraId="4A748A88"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0.7</w:t>
            </w:r>
          </w:p>
        </w:tc>
        <w:tc>
          <w:tcPr>
            <w:tcW w:w="676" w:type="dxa"/>
            <w:tcBorders>
              <w:top w:val="nil"/>
              <w:left w:val="nil"/>
              <w:bottom w:val="single" w:sz="4" w:space="0" w:color="auto"/>
              <w:right w:val="single" w:sz="4" w:space="0" w:color="auto"/>
            </w:tcBorders>
            <w:shd w:val="clear" w:color="auto" w:fill="auto"/>
            <w:vAlign w:val="center"/>
            <w:hideMark/>
          </w:tcPr>
          <w:p w14:paraId="73F3548D"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76" w:type="dxa"/>
            <w:tcBorders>
              <w:top w:val="nil"/>
              <w:left w:val="nil"/>
              <w:bottom w:val="single" w:sz="4" w:space="0" w:color="auto"/>
              <w:right w:val="single" w:sz="4" w:space="0" w:color="auto"/>
            </w:tcBorders>
            <w:shd w:val="clear" w:color="auto" w:fill="auto"/>
            <w:vAlign w:val="center"/>
            <w:hideMark/>
          </w:tcPr>
          <w:p w14:paraId="58FF9A8F"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w:t>
            </w:r>
          </w:p>
        </w:tc>
        <w:tc>
          <w:tcPr>
            <w:tcW w:w="699" w:type="dxa"/>
            <w:tcBorders>
              <w:top w:val="nil"/>
              <w:left w:val="nil"/>
              <w:bottom w:val="single" w:sz="4" w:space="0" w:color="auto"/>
              <w:right w:val="single" w:sz="4" w:space="0" w:color="auto"/>
            </w:tcBorders>
            <w:shd w:val="clear" w:color="auto" w:fill="auto"/>
            <w:vAlign w:val="center"/>
            <w:hideMark/>
          </w:tcPr>
          <w:p w14:paraId="60D94B2C"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0.8</w:t>
            </w:r>
          </w:p>
        </w:tc>
        <w:tc>
          <w:tcPr>
            <w:tcW w:w="1134" w:type="dxa"/>
            <w:tcBorders>
              <w:top w:val="nil"/>
              <w:left w:val="nil"/>
              <w:bottom w:val="single" w:sz="4" w:space="0" w:color="auto"/>
              <w:right w:val="single" w:sz="4" w:space="0" w:color="auto"/>
            </w:tcBorders>
            <w:shd w:val="clear" w:color="auto" w:fill="auto"/>
            <w:vAlign w:val="center"/>
            <w:hideMark/>
          </w:tcPr>
          <w:p w14:paraId="0B25AE0E"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0.64</w:t>
            </w:r>
          </w:p>
        </w:tc>
        <w:tc>
          <w:tcPr>
            <w:tcW w:w="1059" w:type="dxa"/>
            <w:tcBorders>
              <w:top w:val="nil"/>
              <w:left w:val="nil"/>
              <w:bottom w:val="single" w:sz="4" w:space="0" w:color="auto"/>
              <w:right w:val="single" w:sz="4" w:space="0" w:color="auto"/>
            </w:tcBorders>
            <w:shd w:val="clear" w:color="auto" w:fill="auto"/>
            <w:vAlign w:val="center"/>
            <w:hideMark/>
          </w:tcPr>
          <w:p w14:paraId="3F93051C"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0.01</w:t>
            </w:r>
          </w:p>
        </w:tc>
        <w:tc>
          <w:tcPr>
            <w:tcW w:w="501" w:type="dxa"/>
            <w:tcBorders>
              <w:top w:val="nil"/>
              <w:left w:val="nil"/>
              <w:bottom w:val="single" w:sz="4" w:space="0" w:color="auto"/>
              <w:right w:val="single" w:sz="4" w:space="0" w:color="auto"/>
            </w:tcBorders>
            <w:shd w:val="clear" w:color="auto" w:fill="auto"/>
            <w:vAlign w:val="center"/>
            <w:hideMark/>
          </w:tcPr>
          <w:p w14:paraId="0637DB97"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0.63</w:t>
            </w:r>
          </w:p>
        </w:tc>
        <w:tc>
          <w:tcPr>
            <w:tcW w:w="567" w:type="dxa"/>
            <w:tcBorders>
              <w:top w:val="nil"/>
              <w:left w:val="nil"/>
              <w:bottom w:val="single" w:sz="4" w:space="0" w:color="auto"/>
              <w:right w:val="single" w:sz="4" w:space="0" w:color="auto"/>
            </w:tcBorders>
            <w:shd w:val="clear" w:color="auto" w:fill="auto"/>
            <w:vAlign w:val="center"/>
            <w:hideMark/>
          </w:tcPr>
          <w:p w14:paraId="27EFF038" w14:textId="77777777" w:rsidR="00A75B50" w:rsidRPr="00E17B15" w:rsidRDefault="00A75B50" w:rsidP="00F21764">
            <w:pPr>
              <w:spacing w:after="0" w:line="240" w:lineRule="auto"/>
              <w:jc w:val="center"/>
              <w:rPr>
                <w:rFonts w:ascii="Palatino Linotype" w:eastAsia="Times New Roman" w:hAnsi="Palatino Linotype" w:cs="Times New Roman"/>
                <w:color w:val="374151"/>
                <w:sz w:val="18"/>
                <w:szCs w:val="18"/>
                <w:lang w:val="en-ID" w:eastAsia="zh-CN"/>
              </w:rPr>
            </w:pPr>
            <w:r w:rsidRPr="00E17B15">
              <w:rPr>
                <w:rFonts w:ascii="Palatino Linotype" w:eastAsia="Times New Roman" w:hAnsi="Palatino Linotype" w:cs="Times New Roman"/>
                <w:color w:val="374151"/>
                <w:sz w:val="18"/>
                <w:szCs w:val="18"/>
                <w:lang w:val="en-ID" w:eastAsia="zh-CN"/>
              </w:rPr>
              <w:t>4</w:t>
            </w:r>
          </w:p>
        </w:tc>
      </w:tr>
    </w:tbl>
    <w:p w14:paraId="33B0E8CC" w14:textId="77777777" w:rsidR="00A75B50" w:rsidRPr="00E17B15" w:rsidRDefault="00A75B50" w:rsidP="00C24962">
      <w:pPr>
        <w:spacing w:after="0"/>
        <w:rPr>
          <w:rFonts w:ascii="Palatino Linotype" w:hAnsi="Palatino Linotype" w:cs="Times New Roman"/>
          <w:sz w:val="20"/>
          <w:szCs w:val="20"/>
          <w:lang w:val="en-ID"/>
        </w:rPr>
      </w:pPr>
    </w:p>
    <w:p w14:paraId="4BFC327E" w14:textId="26238832" w:rsidR="00E01344" w:rsidRPr="00E17B15" w:rsidRDefault="00D04762" w:rsidP="00E01344">
      <w:pPr>
        <w:spacing w:after="0"/>
        <w:rPr>
          <w:rFonts w:ascii="Palatino Linotype" w:hAnsi="Palatino Linotype" w:cs="Times New Roman"/>
          <w:sz w:val="20"/>
          <w:szCs w:val="20"/>
          <w:lang w:val="en-ID"/>
        </w:rPr>
      </w:pPr>
      <w:r w:rsidRPr="00E17B15">
        <w:rPr>
          <w:rFonts w:ascii="Palatino Linotype" w:hAnsi="Palatino Linotype" w:cs="Times New Roman"/>
          <w:sz w:val="20"/>
          <w:szCs w:val="20"/>
          <w:lang w:val="en-ID"/>
        </w:rPr>
        <w:t>The net flow can be defined as the numerical outcome derived from the computation of the concordance and discordance indices, which is obtained by applying the specified formula:</w:t>
      </w:r>
    </w:p>
    <w:p w14:paraId="19171756" w14:textId="77777777" w:rsidR="00D04762" w:rsidRPr="00E17B15" w:rsidRDefault="00D04762" w:rsidP="00E01344">
      <w:pPr>
        <w:spacing w:after="0"/>
        <w:rPr>
          <w:rFonts w:ascii="Palatino Linotype" w:hAnsi="Palatino Linotype" w:cs="Times New Roman"/>
          <w:sz w:val="20"/>
          <w:szCs w:val="20"/>
          <w:lang w:val="en-ID"/>
        </w:rPr>
      </w:pPr>
    </w:p>
    <w:p w14:paraId="2529FABF" w14:textId="35FC621E" w:rsidR="00E01344" w:rsidRPr="00E17B15" w:rsidRDefault="00E01344" w:rsidP="00D04762">
      <w:pPr>
        <w:spacing w:after="0"/>
        <w:jc w:val="center"/>
        <w:rPr>
          <w:rFonts w:ascii="Palatino Linotype" w:hAnsi="Palatino Linotype" w:cs="Times New Roman"/>
          <w:i/>
          <w:iCs/>
          <w:sz w:val="20"/>
          <w:szCs w:val="20"/>
          <w:lang w:val="en-ID"/>
        </w:rPr>
      </w:pPr>
      <w:proofErr w:type="spellStart"/>
      <w:r w:rsidRPr="00E17B15">
        <w:rPr>
          <w:rFonts w:ascii="Palatino Linotype" w:hAnsi="Palatino Linotype" w:cs="Times New Roman"/>
          <w:i/>
          <w:iCs/>
          <w:sz w:val="20"/>
          <w:szCs w:val="20"/>
          <w:lang w:val="en-ID"/>
        </w:rPr>
        <w:t>Net</w:t>
      </w:r>
      <w:r w:rsidR="00D04762" w:rsidRPr="00E17B15">
        <w:rPr>
          <w:rFonts w:ascii="Palatino Linotype" w:hAnsi="Palatino Linotype" w:cs="Times New Roman"/>
          <w:i/>
          <w:iCs/>
          <w:sz w:val="20"/>
          <w:szCs w:val="20"/>
          <w:lang w:val="en-ID"/>
        </w:rPr>
        <w:t>_</w:t>
      </w:r>
      <w:r w:rsidRPr="00E17B15">
        <w:rPr>
          <w:rFonts w:ascii="Palatino Linotype" w:hAnsi="Palatino Linotype" w:cs="Times New Roman"/>
          <w:i/>
          <w:iCs/>
          <w:sz w:val="20"/>
          <w:szCs w:val="20"/>
          <w:lang w:val="en-ID"/>
        </w:rPr>
        <w:t>Flow</w:t>
      </w:r>
      <w:proofErr w:type="spellEnd"/>
      <w:r w:rsidRPr="00E17B15">
        <w:rPr>
          <w:rFonts w:ascii="Palatino Linotype" w:hAnsi="Palatino Linotype" w:cs="Times New Roman"/>
          <w:i/>
          <w:iCs/>
          <w:sz w:val="20"/>
          <w:szCs w:val="20"/>
          <w:lang w:val="en-ID"/>
        </w:rPr>
        <w:t xml:space="preserve"> = </w:t>
      </w:r>
      <w:proofErr w:type="spellStart"/>
      <w:r w:rsidRPr="00E17B15">
        <w:rPr>
          <w:rFonts w:ascii="Palatino Linotype" w:hAnsi="Palatino Linotype" w:cs="Times New Roman"/>
          <w:i/>
          <w:iCs/>
          <w:sz w:val="20"/>
          <w:szCs w:val="20"/>
          <w:lang w:val="en-ID"/>
        </w:rPr>
        <w:t>Concordance</w:t>
      </w:r>
      <w:r w:rsidR="00D04762" w:rsidRPr="00E17B15">
        <w:rPr>
          <w:rFonts w:ascii="Palatino Linotype" w:hAnsi="Palatino Linotype" w:cs="Times New Roman"/>
          <w:i/>
          <w:iCs/>
          <w:sz w:val="20"/>
          <w:szCs w:val="20"/>
          <w:lang w:val="en-ID"/>
        </w:rPr>
        <w:t>_</w:t>
      </w:r>
      <w:r w:rsidRPr="00E17B15">
        <w:rPr>
          <w:rFonts w:ascii="Palatino Linotype" w:hAnsi="Palatino Linotype" w:cs="Times New Roman"/>
          <w:i/>
          <w:iCs/>
          <w:sz w:val="20"/>
          <w:szCs w:val="20"/>
          <w:lang w:val="en-ID"/>
        </w:rPr>
        <w:t>Index</w:t>
      </w:r>
      <w:proofErr w:type="spellEnd"/>
      <w:r w:rsidRPr="00E17B15">
        <w:rPr>
          <w:rFonts w:ascii="Palatino Linotype" w:hAnsi="Palatino Linotype" w:cs="Times New Roman"/>
          <w:i/>
          <w:iCs/>
          <w:sz w:val="20"/>
          <w:szCs w:val="20"/>
          <w:lang w:val="en-ID"/>
        </w:rPr>
        <w:t xml:space="preserve"> </w:t>
      </w:r>
      <w:r w:rsidR="00D04762" w:rsidRPr="00E17B15">
        <w:rPr>
          <w:rFonts w:ascii="Palatino Linotype" w:hAnsi="Palatino Linotype" w:cs="Times New Roman"/>
          <w:i/>
          <w:iCs/>
          <w:sz w:val="20"/>
          <w:szCs w:val="20"/>
          <w:lang w:val="en-ID"/>
        </w:rPr>
        <w:t>–</w:t>
      </w:r>
      <w:r w:rsidRPr="00E17B15">
        <w:rPr>
          <w:rFonts w:ascii="Palatino Linotype" w:hAnsi="Palatino Linotype" w:cs="Times New Roman"/>
          <w:i/>
          <w:iCs/>
          <w:sz w:val="20"/>
          <w:szCs w:val="20"/>
          <w:lang w:val="en-ID"/>
        </w:rPr>
        <w:t xml:space="preserve"> </w:t>
      </w:r>
      <w:proofErr w:type="spellStart"/>
      <w:r w:rsidRPr="00E17B15">
        <w:rPr>
          <w:rFonts w:ascii="Palatino Linotype" w:hAnsi="Palatino Linotype" w:cs="Times New Roman"/>
          <w:i/>
          <w:iCs/>
          <w:sz w:val="20"/>
          <w:szCs w:val="20"/>
          <w:lang w:val="en-ID"/>
        </w:rPr>
        <w:t>Discordance</w:t>
      </w:r>
      <w:r w:rsidR="00D04762" w:rsidRPr="00E17B15">
        <w:rPr>
          <w:rFonts w:ascii="Palatino Linotype" w:hAnsi="Palatino Linotype" w:cs="Times New Roman"/>
          <w:i/>
          <w:iCs/>
          <w:sz w:val="20"/>
          <w:szCs w:val="20"/>
          <w:lang w:val="en-ID"/>
        </w:rPr>
        <w:t>_</w:t>
      </w:r>
      <w:r w:rsidRPr="00E17B15">
        <w:rPr>
          <w:rFonts w:ascii="Palatino Linotype" w:hAnsi="Palatino Linotype" w:cs="Times New Roman"/>
          <w:i/>
          <w:iCs/>
          <w:sz w:val="20"/>
          <w:szCs w:val="20"/>
          <w:lang w:val="en-ID"/>
        </w:rPr>
        <w:t>Index</w:t>
      </w:r>
      <w:proofErr w:type="spellEnd"/>
    </w:p>
    <w:p w14:paraId="5685253C" w14:textId="77777777" w:rsidR="00E01344" w:rsidRPr="00E17B15" w:rsidRDefault="00E01344" w:rsidP="00E01344">
      <w:pPr>
        <w:spacing w:after="0"/>
        <w:rPr>
          <w:rFonts w:ascii="Palatino Linotype" w:hAnsi="Palatino Linotype" w:cs="Times New Roman"/>
          <w:sz w:val="20"/>
          <w:szCs w:val="20"/>
          <w:lang w:val="en-ID"/>
        </w:rPr>
      </w:pPr>
    </w:p>
    <w:p w14:paraId="09EB87CF" w14:textId="79D05B15" w:rsidR="006F797C" w:rsidRPr="00E17B15" w:rsidRDefault="00F172D7" w:rsidP="00602926">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The determination of the ranking for each course is predicated on the net flow values, whereby courses with higher net flow values are deemed to be more suitable. The relative suitability of courses for participants' needs and expectations can be determined by ranking them based on their net flow, with the highest net flow being the most </w:t>
      </w:r>
      <w:proofErr w:type="spellStart"/>
      <w:r w:rsidRPr="00E17B15">
        <w:rPr>
          <w:rFonts w:ascii="Palatino Linotype" w:hAnsi="Palatino Linotype" w:cs="Times New Roman"/>
          <w:sz w:val="20"/>
          <w:szCs w:val="20"/>
          <w:lang w:val="en-ID"/>
        </w:rPr>
        <w:t>favorable</w:t>
      </w:r>
      <w:proofErr w:type="spellEnd"/>
      <w:r w:rsidRPr="00E17B15">
        <w:rPr>
          <w:rFonts w:ascii="Palatino Linotype" w:hAnsi="Palatino Linotype" w:cs="Times New Roman"/>
          <w:sz w:val="20"/>
          <w:szCs w:val="20"/>
          <w:lang w:val="en-ID"/>
        </w:rPr>
        <w:t xml:space="preserve"> and the lowest net flow being the least </w:t>
      </w:r>
      <w:proofErr w:type="spellStart"/>
      <w:r w:rsidRPr="00E17B15">
        <w:rPr>
          <w:rFonts w:ascii="Palatino Linotype" w:hAnsi="Palatino Linotype" w:cs="Times New Roman"/>
          <w:sz w:val="20"/>
          <w:szCs w:val="20"/>
          <w:lang w:val="en-ID"/>
        </w:rPr>
        <w:t>favorable</w:t>
      </w:r>
      <w:proofErr w:type="spellEnd"/>
      <w:r w:rsidRPr="00E17B15">
        <w:rPr>
          <w:rFonts w:ascii="Palatino Linotype" w:hAnsi="Palatino Linotype" w:cs="Times New Roman"/>
          <w:sz w:val="20"/>
          <w:szCs w:val="20"/>
          <w:lang w:val="en-ID"/>
        </w:rPr>
        <w:t>.</w:t>
      </w:r>
    </w:p>
    <w:p w14:paraId="5B6D5100" w14:textId="4F65299A" w:rsidR="00327224" w:rsidRPr="00E17B15" w:rsidRDefault="00AB4354" w:rsidP="00AB4354">
      <w:pPr>
        <w:spacing w:after="0"/>
        <w:ind w:firstLine="284"/>
        <w:jc w:val="both"/>
        <w:rPr>
          <w:rFonts w:ascii="Palatino Linotype" w:hAnsi="Palatino Linotype" w:cs="Times New Roman"/>
          <w:sz w:val="20"/>
          <w:szCs w:val="20"/>
          <w:lang w:val="en-ID"/>
        </w:rPr>
      </w:pPr>
      <w:r w:rsidRPr="00E17B15">
        <w:rPr>
          <w:rFonts w:ascii="Palatino Linotype" w:hAnsi="Palatino Linotype" w:cs="Times New Roman"/>
          <w:sz w:val="20"/>
          <w:szCs w:val="20"/>
          <w:lang w:val="en-ID"/>
        </w:rPr>
        <w:t xml:space="preserve">The final order can serve as a navigational tool for individuals to make informed decisions when it comes to choosing and assessing web-based courses that align with their personal preferences and objectives. It is imperative to acknowledge that the ranking of online courses is contingent upon the specific criteria and corresponding weights selected by the participants, and thus may not necessarily be indicative of the comprehensive </w:t>
      </w:r>
      <w:proofErr w:type="spellStart"/>
      <w:r w:rsidRPr="00E17B15">
        <w:rPr>
          <w:rFonts w:ascii="Palatino Linotype" w:hAnsi="Palatino Linotype" w:cs="Times New Roman"/>
          <w:sz w:val="20"/>
          <w:szCs w:val="20"/>
          <w:lang w:val="en-ID"/>
        </w:rPr>
        <w:t>caliber</w:t>
      </w:r>
      <w:proofErr w:type="spellEnd"/>
      <w:r w:rsidRPr="00E17B15">
        <w:rPr>
          <w:rFonts w:ascii="Palatino Linotype" w:hAnsi="Palatino Linotype" w:cs="Times New Roman"/>
          <w:sz w:val="20"/>
          <w:szCs w:val="20"/>
          <w:lang w:val="en-ID"/>
        </w:rPr>
        <w:t xml:space="preserve"> or efficacy of said courses.</w:t>
      </w:r>
    </w:p>
    <w:p w14:paraId="6C2EB720" w14:textId="77777777" w:rsidR="00AB4354" w:rsidRPr="00E17B15" w:rsidRDefault="00AB4354" w:rsidP="00AB4354">
      <w:pPr>
        <w:spacing w:after="0"/>
        <w:ind w:firstLine="284"/>
        <w:jc w:val="both"/>
        <w:rPr>
          <w:rFonts w:ascii="Palatino Linotype" w:hAnsi="Palatino Linotype" w:cs="Times New Roman"/>
          <w:sz w:val="20"/>
          <w:szCs w:val="20"/>
          <w:lang w:val="en-ID"/>
        </w:rPr>
      </w:pPr>
    </w:p>
    <w:p w14:paraId="44DD733F" w14:textId="48BAC357" w:rsidR="004B717C" w:rsidRPr="00E17B15" w:rsidRDefault="00000000" w:rsidP="001053C0">
      <w:pPr>
        <w:pStyle w:val="ListParagraph"/>
        <w:numPr>
          <w:ilvl w:val="0"/>
          <w:numId w:val="1"/>
        </w:numPr>
        <w:spacing w:after="0"/>
        <w:rPr>
          <w:rFonts w:ascii="Palatino Linotype" w:hAnsi="Palatino Linotype" w:cs="Times New Roman"/>
          <w:b/>
          <w:bCs/>
          <w:sz w:val="20"/>
          <w:szCs w:val="20"/>
        </w:rPr>
      </w:pPr>
      <w:r w:rsidRPr="00E17B15">
        <w:rPr>
          <w:rFonts w:ascii="Palatino Linotype" w:hAnsi="Palatino Linotype" w:cs="Times New Roman"/>
          <w:b/>
          <w:bCs/>
          <w:sz w:val="20"/>
          <w:szCs w:val="20"/>
        </w:rPr>
        <w:t>Conclusion</w:t>
      </w:r>
    </w:p>
    <w:p w14:paraId="3B63CDED" w14:textId="10F2E3DE" w:rsidR="008667F3" w:rsidRPr="00E17B15" w:rsidRDefault="00051D20" w:rsidP="008667F3">
      <w:pPr>
        <w:spacing w:after="0"/>
        <w:ind w:firstLine="360"/>
        <w:jc w:val="both"/>
        <w:rPr>
          <w:rFonts w:ascii="Palatino Linotype" w:hAnsi="Palatino Linotype" w:cs="Times New Roman"/>
          <w:sz w:val="20"/>
          <w:szCs w:val="20"/>
        </w:rPr>
      </w:pPr>
      <w:r w:rsidRPr="00E17B15">
        <w:rPr>
          <w:rFonts w:ascii="Palatino Linotype" w:hAnsi="Palatino Linotype" w:cs="Times New Roman"/>
          <w:sz w:val="20"/>
          <w:szCs w:val="20"/>
        </w:rPr>
        <w:t>The ELECTRE approach offers a valuable structure for individuals to assess and appraise web-based courses by utilizing a predetermined set of criteria and corresponding weights that are customized to their particular requirements and anticipations. Through the computation of concordance and discordance indices for each course and subsequent utilization of the net flow to establish a ranking, individuals can make a judicious selection of the online course that aligns with their unique preferences and objectives. The present study has established a series of standards for assessing the appropriateness of web-based courses, encompassing aspects such as the caliber of the course, the level of expertise of the instructor, the accreditation status, the degree of student involvement, the adaptability of the course, the availability of technical assistance, and the financial implications. The weight of each criterion was determined through the utilization of the pairwise comparison method. The ELECTRE method was employed in a theoretical scenario encompassing five web-based courses. The study demonstrated the method's capacity to prioritize the courses according to their appropriateness for fulfilling the participants' requirements and preferences.</w:t>
      </w:r>
    </w:p>
    <w:p w14:paraId="04DD12D9" w14:textId="77777777" w:rsidR="00D0294F" w:rsidRPr="00E17B15" w:rsidRDefault="00D0294F" w:rsidP="006A50A6">
      <w:pPr>
        <w:spacing w:after="0"/>
        <w:ind w:firstLine="360"/>
        <w:jc w:val="both"/>
        <w:rPr>
          <w:rFonts w:ascii="Palatino Linotype" w:hAnsi="Palatino Linotype" w:cs="Times New Roman"/>
          <w:sz w:val="20"/>
          <w:szCs w:val="20"/>
        </w:rPr>
      </w:pPr>
      <w:r w:rsidRPr="00E17B15">
        <w:rPr>
          <w:rFonts w:ascii="Palatino Linotype" w:hAnsi="Palatino Linotype" w:cs="Times New Roman"/>
          <w:sz w:val="20"/>
          <w:szCs w:val="20"/>
        </w:rPr>
        <w:t xml:space="preserve">A research gap has been identified pertaining to the need for additional investigation into the customization of criteria and weights utilized in the ELECTRE method for distinct participant groups, including learners from varying age cohorts, cultural backgrounds, or educational attainment levels. Furthermore, it is suggested that forthcoming studies may explore the potential integration of the </w:t>
      </w:r>
      <w:r w:rsidRPr="00E17B15">
        <w:rPr>
          <w:rFonts w:ascii="Palatino Linotype" w:hAnsi="Palatino Linotype" w:cs="Times New Roman"/>
          <w:sz w:val="20"/>
          <w:szCs w:val="20"/>
        </w:rPr>
        <w:lastRenderedPageBreak/>
        <w:t>outcomes derived from the ELECTRE approach with other methodologies, such as expert judgment or user evaluations, in order to augment the precision and credibility of the ranking.</w:t>
      </w:r>
    </w:p>
    <w:p w14:paraId="787A6EA7" w14:textId="64249DE3" w:rsidR="006A50A6" w:rsidRPr="00E17B15" w:rsidRDefault="00CF74A4" w:rsidP="00F25D1F">
      <w:pPr>
        <w:spacing w:after="0"/>
        <w:ind w:firstLine="360"/>
        <w:jc w:val="both"/>
        <w:rPr>
          <w:rFonts w:ascii="Palatino Linotype" w:hAnsi="Palatino Linotype" w:cs="Times New Roman"/>
          <w:sz w:val="20"/>
          <w:szCs w:val="20"/>
        </w:rPr>
      </w:pPr>
      <w:r w:rsidRPr="00E17B15">
        <w:rPr>
          <w:rFonts w:ascii="Palatino Linotype" w:hAnsi="Palatino Linotype" w:cs="Times New Roman"/>
          <w:sz w:val="20"/>
          <w:szCs w:val="20"/>
        </w:rPr>
        <w:t>Essentially, the utilization of the ELECTRE methodology provides a useful tool for individuals to evaluate and choose online courses.</w:t>
      </w:r>
      <w:r w:rsidR="00D0294F" w:rsidRPr="00E17B15">
        <w:rPr>
          <w:rFonts w:ascii="Palatino Linotype" w:hAnsi="Palatino Linotype" w:cs="Times New Roman"/>
          <w:sz w:val="20"/>
          <w:szCs w:val="20"/>
        </w:rPr>
        <w:t xml:space="preserve"> Through the utilization of customized criteria and weights, individuals can make an informed decision that takes into account their unique needs and expectations, ultimately leading to an enhancement of their educational achievements.</w:t>
      </w:r>
    </w:p>
    <w:p w14:paraId="2CE9CE8C" w14:textId="74FED4D1" w:rsidR="00101A71" w:rsidRPr="00E17B15" w:rsidRDefault="00101A71" w:rsidP="00101A71">
      <w:pPr>
        <w:spacing w:after="0"/>
        <w:rPr>
          <w:rFonts w:ascii="Palatino Linotype" w:hAnsi="Palatino Linotype" w:cs="Times New Roman"/>
          <w:sz w:val="20"/>
          <w:szCs w:val="20"/>
        </w:rPr>
      </w:pPr>
    </w:p>
    <w:p w14:paraId="46D32380" w14:textId="44EBD2AD" w:rsidR="004F0F44" w:rsidRPr="00E17B15" w:rsidRDefault="00000000" w:rsidP="00D92F92">
      <w:pPr>
        <w:spacing w:after="0"/>
        <w:jc w:val="both"/>
        <w:rPr>
          <w:rFonts w:ascii="Palatino Linotype" w:hAnsi="Palatino Linotype" w:cs="Times New Roman"/>
          <w:b/>
          <w:bCs/>
          <w:sz w:val="20"/>
          <w:szCs w:val="20"/>
        </w:rPr>
      </w:pPr>
      <w:r w:rsidRPr="00E17B15">
        <w:rPr>
          <w:rFonts w:ascii="Palatino Linotype" w:hAnsi="Palatino Linotype" w:cs="Times New Roman"/>
          <w:b/>
          <w:bCs/>
          <w:sz w:val="20"/>
          <w:szCs w:val="20"/>
        </w:rPr>
        <w:t>References</w:t>
      </w:r>
    </w:p>
    <w:p w14:paraId="645BE801" w14:textId="2B7B5959" w:rsidR="004759C5" w:rsidRPr="00E17B15" w:rsidRDefault="00A055C2"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b/>
          <w:bCs/>
          <w:sz w:val="20"/>
          <w:szCs w:val="20"/>
        </w:rPr>
        <w:fldChar w:fldCharType="begin" w:fldLock="1"/>
      </w:r>
      <w:r w:rsidRPr="00E17B15">
        <w:rPr>
          <w:rFonts w:ascii="Palatino Linotype" w:hAnsi="Palatino Linotype" w:cs="Times New Roman"/>
          <w:b/>
          <w:bCs/>
          <w:sz w:val="20"/>
          <w:szCs w:val="20"/>
        </w:rPr>
        <w:instrText xml:space="preserve">ADDIN Mendeley Bibliography CSL_BIBLIOGRAPHY </w:instrText>
      </w:r>
      <w:r w:rsidRPr="00E17B15">
        <w:rPr>
          <w:rFonts w:ascii="Palatino Linotype" w:hAnsi="Palatino Linotype" w:cs="Times New Roman"/>
          <w:b/>
          <w:bCs/>
          <w:sz w:val="20"/>
          <w:szCs w:val="20"/>
        </w:rPr>
        <w:fldChar w:fldCharType="separate"/>
      </w:r>
      <w:r w:rsidR="004759C5" w:rsidRPr="00E17B15">
        <w:rPr>
          <w:rFonts w:ascii="Palatino Linotype" w:hAnsi="Palatino Linotype" w:cs="Times New Roman"/>
          <w:noProof/>
          <w:sz w:val="20"/>
          <w:szCs w:val="24"/>
        </w:rPr>
        <w:t>[1]</w:t>
      </w:r>
      <w:r w:rsidR="004759C5" w:rsidRPr="00E17B15">
        <w:rPr>
          <w:rFonts w:ascii="Palatino Linotype" w:hAnsi="Palatino Linotype" w:cs="Times New Roman"/>
          <w:noProof/>
          <w:sz w:val="20"/>
          <w:szCs w:val="24"/>
        </w:rPr>
        <w:tab/>
        <w:t xml:space="preserve">Y. Cui </w:t>
      </w:r>
      <w:r w:rsidR="004759C5" w:rsidRPr="00E17B15">
        <w:rPr>
          <w:rFonts w:ascii="Palatino Linotype" w:hAnsi="Palatino Linotype" w:cs="Times New Roman"/>
          <w:i/>
          <w:iCs/>
          <w:noProof/>
          <w:sz w:val="20"/>
          <w:szCs w:val="24"/>
        </w:rPr>
        <w:t>et al.</w:t>
      </w:r>
      <w:r w:rsidR="004759C5" w:rsidRPr="00E17B15">
        <w:rPr>
          <w:rFonts w:ascii="Palatino Linotype" w:hAnsi="Palatino Linotype" w:cs="Times New Roman"/>
          <w:noProof/>
          <w:sz w:val="20"/>
          <w:szCs w:val="24"/>
        </w:rPr>
        <w:t xml:space="preserve">, “A survey on big data-enabled innovative online education systems during the COVID-19 pandemic,” </w:t>
      </w:r>
      <w:r w:rsidR="004759C5" w:rsidRPr="00E17B15">
        <w:rPr>
          <w:rFonts w:ascii="Palatino Linotype" w:hAnsi="Palatino Linotype" w:cs="Times New Roman"/>
          <w:i/>
          <w:iCs/>
          <w:noProof/>
          <w:sz w:val="20"/>
          <w:szCs w:val="24"/>
        </w:rPr>
        <w:t>J. Innov. Knowl.</w:t>
      </w:r>
      <w:r w:rsidR="004759C5" w:rsidRPr="00E17B15">
        <w:rPr>
          <w:rFonts w:ascii="Palatino Linotype" w:hAnsi="Palatino Linotype" w:cs="Times New Roman"/>
          <w:noProof/>
          <w:sz w:val="20"/>
          <w:szCs w:val="24"/>
        </w:rPr>
        <w:t>, vol. 8, no. 1, p. 100295, Jan. 2023, doi: 10.1016/J.JIK.2022.100295.</w:t>
      </w:r>
    </w:p>
    <w:p w14:paraId="34E05145"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[2]</w:t>
      </w:r>
      <w:r w:rsidRPr="00E17B15">
        <w:rPr>
          <w:rFonts w:ascii="Palatino Linotype" w:hAnsi="Palatino Linotype" w:cs="Times New Roman"/>
          <w:noProof/>
          <w:sz w:val="20"/>
          <w:szCs w:val="24"/>
        </w:rPr>
        <w:tab/>
        <w:t xml:space="preserve">D. Hardt, M. Nagler, and J. Rincke, “Tutoring in (online) higher education: Experimental evidence,” </w:t>
      </w:r>
      <w:r w:rsidRPr="00E17B15">
        <w:rPr>
          <w:rFonts w:ascii="Palatino Linotype" w:hAnsi="Palatino Linotype" w:cs="Times New Roman"/>
          <w:i/>
          <w:iCs/>
          <w:noProof/>
          <w:sz w:val="20"/>
          <w:szCs w:val="24"/>
        </w:rPr>
        <w:t>Econ. Educ. Rev.</w:t>
      </w:r>
      <w:r w:rsidRPr="00E17B15">
        <w:rPr>
          <w:rFonts w:ascii="Palatino Linotype" w:hAnsi="Palatino Linotype" w:cs="Times New Roman"/>
          <w:noProof/>
          <w:sz w:val="20"/>
          <w:szCs w:val="24"/>
        </w:rPr>
        <w:t>, vol. 92, p. 102350, Feb. 2023, doi: 10.1016/J.ECONEDUREV.2022.102350.</w:t>
      </w:r>
    </w:p>
    <w:p w14:paraId="1C9A94EB"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[3]</w:t>
      </w:r>
      <w:r w:rsidRPr="00E17B15">
        <w:rPr>
          <w:rFonts w:ascii="Palatino Linotype" w:hAnsi="Palatino Linotype" w:cs="Times New Roman"/>
          <w:noProof/>
          <w:sz w:val="20"/>
          <w:szCs w:val="24"/>
        </w:rPr>
        <w:tab/>
        <w:t xml:space="preserve">Y. Bai </w:t>
      </w:r>
      <w:r w:rsidRPr="00E17B15">
        <w:rPr>
          <w:rFonts w:ascii="Palatino Linotype" w:hAnsi="Palatino Linotype" w:cs="Times New Roman"/>
          <w:i/>
          <w:iCs/>
          <w:noProof/>
          <w:sz w:val="20"/>
          <w:szCs w:val="24"/>
        </w:rPr>
        <w:t>et al.</w:t>
      </w:r>
      <w:r w:rsidRPr="00E17B15">
        <w:rPr>
          <w:rFonts w:ascii="Palatino Linotype" w:hAnsi="Palatino Linotype" w:cs="Times New Roman"/>
          <w:noProof/>
          <w:sz w:val="20"/>
          <w:szCs w:val="24"/>
        </w:rPr>
        <w:t xml:space="preserve">, “Impact of online computer assisted learning on education: Experimental evidence from economically vulnerable areas of China,” </w:t>
      </w:r>
      <w:r w:rsidRPr="00E17B15">
        <w:rPr>
          <w:rFonts w:ascii="Palatino Linotype" w:hAnsi="Palatino Linotype" w:cs="Times New Roman"/>
          <w:i/>
          <w:iCs/>
          <w:noProof/>
          <w:sz w:val="20"/>
          <w:szCs w:val="24"/>
        </w:rPr>
        <w:t>Econ. Educ. Rev.</w:t>
      </w:r>
      <w:r w:rsidRPr="00E17B15">
        <w:rPr>
          <w:rFonts w:ascii="Palatino Linotype" w:hAnsi="Palatino Linotype" w:cs="Times New Roman"/>
          <w:noProof/>
          <w:sz w:val="20"/>
          <w:szCs w:val="24"/>
        </w:rPr>
        <w:t>, vol. 94, p. 102385, Jun. 2023, doi: 10.1016/J.ECONEDUREV.2023.102385.</w:t>
      </w:r>
    </w:p>
    <w:p w14:paraId="714FAE78"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[4]</w:t>
      </w:r>
      <w:r w:rsidRPr="00E17B15">
        <w:rPr>
          <w:rFonts w:ascii="Palatino Linotype" w:hAnsi="Palatino Linotype" w:cs="Times New Roman"/>
          <w:noProof/>
          <w:sz w:val="20"/>
          <w:szCs w:val="24"/>
        </w:rPr>
        <w:tab/>
        <w:t xml:space="preserve">A. N. Boulos, “Evaluation of the effectiveness of online education in anatomy for medical students during the COVID-19 pandemic,” </w:t>
      </w:r>
      <w:r w:rsidRPr="00E17B15">
        <w:rPr>
          <w:rFonts w:ascii="Palatino Linotype" w:hAnsi="Palatino Linotype" w:cs="Times New Roman"/>
          <w:i/>
          <w:iCs/>
          <w:noProof/>
          <w:sz w:val="20"/>
          <w:szCs w:val="24"/>
        </w:rPr>
        <w:t>Ann. Anat. - Anat. Anzeiger</w:t>
      </w:r>
      <w:r w:rsidRPr="00E17B15">
        <w:rPr>
          <w:rFonts w:ascii="Palatino Linotype" w:hAnsi="Palatino Linotype" w:cs="Times New Roman"/>
          <w:noProof/>
          <w:sz w:val="20"/>
          <w:szCs w:val="24"/>
        </w:rPr>
        <w:t>, vol. 244, p. 151973, Oct. 2022, doi: 10.1016/J.AANAT.2022.151973.</w:t>
      </w:r>
    </w:p>
    <w:p w14:paraId="18E52D27"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[5]</w:t>
      </w:r>
      <w:r w:rsidRPr="00E17B15">
        <w:rPr>
          <w:rFonts w:ascii="Palatino Linotype" w:hAnsi="Palatino Linotype" w:cs="Times New Roman"/>
          <w:noProof/>
          <w:sz w:val="20"/>
          <w:szCs w:val="24"/>
        </w:rPr>
        <w:tab/>
        <w:t xml:space="preserve">L. Efthymiou and A. Zarifis, “Modeling students’ voice for enhanced quality in online management education,” </w:t>
      </w:r>
      <w:r w:rsidRPr="00E17B15">
        <w:rPr>
          <w:rFonts w:ascii="Palatino Linotype" w:hAnsi="Palatino Linotype" w:cs="Times New Roman"/>
          <w:i/>
          <w:iCs/>
          <w:noProof/>
          <w:sz w:val="20"/>
          <w:szCs w:val="24"/>
        </w:rPr>
        <w:t>Int. J. Manag. Educ.</w:t>
      </w:r>
      <w:r w:rsidRPr="00E17B15">
        <w:rPr>
          <w:rFonts w:ascii="Palatino Linotype" w:hAnsi="Palatino Linotype" w:cs="Times New Roman"/>
          <w:noProof/>
          <w:sz w:val="20"/>
          <w:szCs w:val="24"/>
        </w:rPr>
        <w:t>, vol. 19, no. 2, p. 100464, Jul. 2021, doi: 10.1016/J.IJME.2021.100464.</w:t>
      </w:r>
    </w:p>
    <w:p w14:paraId="2B01F8E0"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[6]</w:t>
      </w:r>
      <w:r w:rsidRPr="00E17B15">
        <w:rPr>
          <w:rFonts w:ascii="Palatino Linotype" w:hAnsi="Palatino Linotype" w:cs="Times New Roman"/>
          <w:noProof/>
          <w:sz w:val="20"/>
          <w:szCs w:val="24"/>
        </w:rPr>
        <w:tab/>
        <w:t xml:space="preserve">X. Li, Q. Chen, F. Fang, and J. Zhang, “Is online education more like the global public goods?,” </w:t>
      </w:r>
      <w:r w:rsidRPr="00E17B15">
        <w:rPr>
          <w:rFonts w:ascii="Palatino Linotype" w:hAnsi="Palatino Linotype" w:cs="Times New Roman"/>
          <w:i/>
          <w:iCs/>
          <w:noProof/>
          <w:sz w:val="20"/>
          <w:szCs w:val="24"/>
        </w:rPr>
        <w:t>Futures</w:t>
      </w:r>
      <w:r w:rsidRPr="00E17B15">
        <w:rPr>
          <w:rFonts w:ascii="Palatino Linotype" w:hAnsi="Palatino Linotype" w:cs="Times New Roman"/>
          <w:noProof/>
          <w:sz w:val="20"/>
          <w:szCs w:val="24"/>
        </w:rPr>
        <w:t>, vol. 81, pp. 176–190, Aug. 2016, doi: 10.1016/J.FUTURES.2015.10.001.</w:t>
      </w:r>
    </w:p>
    <w:p w14:paraId="05B57CB3"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[7]</w:t>
      </w:r>
      <w:r w:rsidRPr="00E17B15">
        <w:rPr>
          <w:rFonts w:ascii="Palatino Linotype" w:hAnsi="Palatino Linotype" w:cs="Times New Roman"/>
          <w:noProof/>
          <w:sz w:val="20"/>
          <w:szCs w:val="24"/>
        </w:rPr>
        <w:tab/>
        <w:t xml:space="preserve">F. Emanuel, P. Ricchiardi, D. Sanseverino, and C. Ghislieri, “Make soft skills stronger? An online enhancement platform for higher education,” </w:t>
      </w:r>
      <w:r w:rsidRPr="00E17B15">
        <w:rPr>
          <w:rFonts w:ascii="Palatino Linotype" w:hAnsi="Palatino Linotype" w:cs="Times New Roman"/>
          <w:i/>
          <w:iCs/>
          <w:noProof/>
          <w:sz w:val="20"/>
          <w:szCs w:val="24"/>
        </w:rPr>
        <w:t>Int. J. Educ. Res. Open</w:t>
      </w:r>
      <w:r w:rsidRPr="00E17B15">
        <w:rPr>
          <w:rFonts w:ascii="Palatino Linotype" w:hAnsi="Palatino Linotype" w:cs="Times New Roman"/>
          <w:noProof/>
          <w:sz w:val="20"/>
          <w:szCs w:val="24"/>
        </w:rPr>
        <w:t>, vol. 2, p. 100096, Jan. 2021, doi: 10.1016/J.IJEDRO.2021.100096.</w:t>
      </w:r>
    </w:p>
    <w:p w14:paraId="1E7D91E8"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[8]</w:t>
      </w:r>
      <w:r w:rsidRPr="00E17B15">
        <w:rPr>
          <w:rFonts w:ascii="Palatino Linotype" w:hAnsi="Palatino Linotype" w:cs="Times New Roman"/>
          <w:noProof/>
          <w:sz w:val="20"/>
          <w:szCs w:val="24"/>
        </w:rPr>
        <w:tab/>
        <w:t xml:space="preserve">S. Zhang, R. Ma, Z. Wang, G. Li, and T. Fa, “Academic self-concept mediates the effect of online learning engagement on deep learning in online courses for Chinese nursing students: A cross-sectional study,” </w:t>
      </w:r>
      <w:r w:rsidRPr="00E17B15">
        <w:rPr>
          <w:rFonts w:ascii="Palatino Linotype" w:hAnsi="Palatino Linotype" w:cs="Times New Roman"/>
          <w:i/>
          <w:iCs/>
          <w:noProof/>
          <w:sz w:val="20"/>
          <w:szCs w:val="24"/>
        </w:rPr>
        <w:t>Nurse Educ. Today</w:t>
      </w:r>
      <w:r w:rsidRPr="00E17B15">
        <w:rPr>
          <w:rFonts w:ascii="Palatino Linotype" w:hAnsi="Palatino Linotype" w:cs="Times New Roman"/>
          <w:noProof/>
          <w:sz w:val="20"/>
          <w:szCs w:val="24"/>
        </w:rPr>
        <w:t>, vol. 117, p. 105481, Oct. 2022, doi: 10.1016/J.NEDT.2022.105481.</w:t>
      </w:r>
    </w:p>
    <w:p w14:paraId="52533192"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[9]</w:t>
      </w:r>
      <w:r w:rsidRPr="00E17B15">
        <w:rPr>
          <w:rFonts w:ascii="Palatino Linotype" w:hAnsi="Palatino Linotype" w:cs="Times New Roman"/>
          <w:noProof/>
          <w:sz w:val="20"/>
          <w:szCs w:val="24"/>
        </w:rPr>
        <w:tab/>
        <w:t xml:space="preserve">D. Shwartz-Asher, A. Raviv, and R. Herscu-Kluska, “Teaching and assessing active learning in online academic courses,” </w:t>
      </w:r>
      <w:r w:rsidRPr="00E17B15">
        <w:rPr>
          <w:rFonts w:ascii="Palatino Linotype" w:hAnsi="Palatino Linotype" w:cs="Times New Roman"/>
          <w:i/>
          <w:iCs/>
          <w:noProof/>
          <w:sz w:val="20"/>
          <w:szCs w:val="24"/>
        </w:rPr>
        <w:t>Soc. Sci. Humanit. Open</w:t>
      </w:r>
      <w:r w:rsidRPr="00E17B15">
        <w:rPr>
          <w:rFonts w:ascii="Palatino Linotype" w:hAnsi="Palatino Linotype" w:cs="Times New Roman"/>
          <w:noProof/>
          <w:sz w:val="20"/>
          <w:szCs w:val="24"/>
        </w:rPr>
        <w:t>, vol. 6, no. 1, p. 100341, Jan. 2022, doi: 10.1016/J.SSAHO.2022.100341.</w:t>
      </w:r>
    </w:p>
    <w:p w14:paraId="5CA18208"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[10]</w:t>
      </w:r>
      <w:r w:rsidRPr="00E17B15">
        <w:rPr>
          <w:rFonts w:ascii="Palatino Linotype" w:hAnsi="Palatino Linotype" w:cs="Times New Roman"/>
          <w:noProof/>
          <w:sz w:val="20"/>
          <w:szCs w:val="24"/>
        </w:rPr>
        <w:tab/>
        <w:t xml:space="preserve">M. J. Finlay, T. Simpson, and D. J. Tinnion, “Association between attendance, online course activity time, and grades: Analysis of undergraduate sport science cohorts during the COVID-19 pandemic,” </w:t>
      </w:r>
      <w:r w:rsidRPr="00E17B15">
        <w:rPr>
          <w:rFonts w:ascii="Palatino Linotype" w:hAnsi="Palatino Linotype" w:cs="Times New Roman"/>
          <w:i/>
          <w:iCs/>
          <w:noProof/>
          <w:sz w:val="20"/>
          <w:szCs w:val="24"/>
        </w:rPr>
        <w:t>J. Hosp. Leis. Sport Tour. Educ.</w:t>
      </w:r>
      <w:r w:rsidRPr="00E17B15">
        <w:rPr>
          <w:rFonts w:ascii="Palatino Linotype" w:hAnsi="Palatino Linotype" w:cs="Times New Roman"/>
          <w:noProof/>
          <w:sz w:val="20"/>
          <w:szCs w:val="24"/>
        </w:rPr>
        <w:t>, vol. 31, p. 100397, Nov. 2022, doi: 10.1016/J.JHLSTE.2022.100397.</w:t>
      </w:r>
    </w:p>
    <w:p w14:paraId="3B065E80"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[11]</w:t>
      </w:r>
      <w:r w:rsidRPr="00E17B15">
        <w:rPr>
          <w:rFonts w:ascii="Palatino Linotype" w:hAnsi="Palatino Linotype" w:cs="Times New Roman"/>
          <w:noProof/>
          <w:sz w:val="20"/>
          <w:szCs w:val="24"/>
        </w:rPr>
        <w:tab/>
        <w:t xml:space="preserve">Á. F. Agudo-Peregrina, Á. Hernández-García, and F. J. Pascual-Miguel, “Behavioral intention, use behavior and the acceptance of electronic learning systems: Differences between higher education and lifelong learning,” </w:t>
      </w:r>
      <w:r w:rsidRPr="00E17B15">
        <w:rPr>
          <w:rFonts w:ascii="Palatino Linotype" w:hAnsi="Palatino Linotype" w:cs="Times New Roman"/>
          <w:i/>
          <w:iCs/>
          <w:noProof/>
          <w:sz w:val="20"/>
          <w:szCs w:val="24"/>
        </w:rPr>
        <w:t>Comput. Human Behav.</w:t>
      </w:r>
      <w:r w:rsidRPr="00E17B15">
        <w:rPr>
          <w:rFonts w:ascii="Palatino Linotype" w:hAnsi="Palatino Linotype" w:cs="Times New Roman"/>
          <w:noProof/>
          <w:sz w:val="20"/>
          <w:szCs w:val="24"/>
        </w:rPr>
        <w:t>, vol. 34, pp. 301–314, May 2014, doi: 10.1016/J.CHB.2013.10.035.</w:t>
      </w:r>
    </w:p>
    <w:p w14:paraId="7E64160F"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szCs w:val="24"/>
        </w:rPr>
      </w:pPr>
      <w:r w:rsidRPr="00E17B15">
        <w:rPr>
          <w:rFonts w:ascii="Palatino Linotype" w:hAnsi="Palatino Linotype" w:cs="Times New Roman"/>
          <w:noProof/>
          <w:sz w:val="20"/>
          <w:szCs w:val="24"/>
        </w:rPr>
        <w:t>[12]</w:t>
      </w:r>
      <w:r w:rsidRPr="00E17B15">
        <w:rPr>
          <w:rFonts w:ascii="Palatino Linotype" w:hAnsi="Palatino Linotype" w:cs="Times New Roman"/>
          <w:noProof/>
          <w:sz w:val="20"/>
          <w:szCs w:val="24"/>
        </w:rPr>
        <w:tab/>
        <w:t xml:space="preserve">D. Al-Fraihat, M. Joy, R. Masa’deh, and J. Sinclair, “Evaluating E-learning systems success: An empirical study,” </w:t>
      </w:r>
      <w:r w:rsidRPr="00E17B15">
        <w:rPr>
          <w:rFonts w:ascii="Palatino Linotype" w:hAnsi="Palatino Linotype" w:cs="Times New Roman"/>
          <w:i/>
          <w:iCs/>
          <w:noProof/>
          <w:sz w:val="20"/>
          <w:szCs w:val="24"/>
        </w:rPr>
        <w:t>Comput. Human Behav.</w:t>
      </w:r>
      <w:r w:rsidRPr="00E17B15">
        <w:rPr>
          <w:rFonts w:ascii="Palatino Linotype" w:hAnsi="Palatino Linotype" w:cs="Times New Roman"/>
          <w:noProof/>
          <w:sz w:val="20"/>
          <w:szCs w:val="24"/>
        </w:rPr>
        <w:t>, vol. 102, pp. 67–86, Jan. 2020, doi: 10.1016/j.chb.2019.08.004.</w:t>
      </w:r>
    </w:p>
    <w:p w14:paraId="60AF3B2D" w14:textId="77777777" w:rsidR="004759C5" w:rsidRPr="00E17B15" w:rsidRDefault="004759C5" w:rsidP="004759C5">
      <w:pPr>
        <w:widowControl w:val="0"/>
        <w:autoSpaceDE w:val="0"/>
        <w:autoSpaceDN w:val="0"/>
        <w:adjustRightInd w:val="0"/>
        <w:spacing w:after="0" w:line="240" w:lineRule="auto"/>
        <w:ind w:left="640" w:hanging="640"/>
        <w:rPr>
          <w:rFonts w:ascii="Palatino Linotype" w:hAnsi="Palatino Linotype" w:cs="Times New Roman"/>
          <w:noProof/>
          <w:sz w:val="20"/>
        </w:rPr>
      </w:pPr>
      <w:r w:rsidRPr="00E17B15">
        <w:rPr>
          <w:rFonts w:ascii="Palatino Linotype" w:hAnsi="Palatino Linotype" w:cs="Times New Roman"/>
          <w:noProof/>
          <w:sz w:val="20"/>
          <w:szCs w:val="24"/>
        </w:rPr>
        <w:t>[13]</w:t>
      </w:r>
      <w:r w:rsidRPr="00E17B15">
        <w:rPr>
          <w:rFonts w:ascii="Palatino Linotype" w:hAnsi="Palatino Linotype" w:cs="Times New Roman"/>
          <w:noProof/>
          <w:sz w:val="20"/>
          <w:szCs w:val="24"/>
        </w:rPr>
        <w:tab/>
        <w:t xml:space="preserve">W. Liu and L. Zhang, “Performance Evaluation and Identification of Key Influencing Factors for Student Achievement Based on the Entropy-Weighted TOPSIS Model,” </w:t>
      </w:r>
      <w:r w:rsidRPr="00E17B15">
        <w:rPr>
          <w:rFonts w:ascii="Palatino Linotype" w:hAnsi="Palatino Linotype" w:cs="Times New Roman"/>
          <w:i/>
          <w:iCs/>
          <w:noProof/>
          <w:sz w:val="20"/>
          <w:szCs w:val="24"/>
        </w:rPr>
        <w:t>Comput. Intell. Neurosci.</w:t>
      </w:r>
      <w:r w:rsidRPr="00E17B15">
        <w:rPr>
          <w:rFonts w:ascii="Palatino Linotype" w:hAnsi="Palatino Linotype" w:cs="Times New Roman"/>
          <w:noProof/>
          <w:sz w:val="20"/>
          <w:szCs w:val="24"/>
        </w:rPr>
        <w:t>, vol. 2023, pp. 1–12, Feb. 2023, doi: 10.1155/2023/1253824.</w:t>
      </w:r>
    </w:p>
    <w:p w14:paraId="0C987D7B" w14:textId="2A81F9C9" w:rsidR="00C23EEC" w:rsidRPr="00E17B15" w:rsidRDefault="00A055C2" w:rsidP="00652F87">
      <w:pPr>
        <w:widowControl w:val="0"/>
        <w:autoSpaceDE w:val="0"/>
        <w:autoSpaceDN w:val="0"/>
        <w:adjustRightInd w:val="0"/>
        <w:spacing w:after="0" w:line="240" w:lineRule="auto"/>
        <w:ind w:left="640" w:hanging="640"/>
        <w:jc w:val="both"/>
        <w:rPr>
          <w:rFonts w:ascii="Palatino Linotype" w:hAnsi="Palatino Linotype" w:cs="Times New Roman"/>
        </w:rPr>
      </w:pPr>
      <w:r w:rsidRPr="00E17B15">
        <w:rPr>
          <w:rFonts w:ascii="Palatino Linotype" w:hAnsi="Palatino Linotype" w:cs="Times New Roman"/>
          <w:b/>
          <w:bCs/>
          <w:sz w:val="20"/>
          <w:szCs w:val="20"/>
        </w:rPr>
        <w:fldChar w:fldCharType="end"/>
      </w:r>
    </w:p>
    <w:sectPr w:rsidR="00C23EEC" w:rsidRPr="00E17B15" w:rsidSect="00D17C23">
      <w:pgSz w:w="11907" w:h="16840" w:code="9"/>
      <w:pgMar w:top="1440" w:right="1440" w:bottom="1440" w:left="144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319C2"/>
    <w:multiLevelType w:val="hybridMultilevel"/>
    <w:tmpl w:val="CB563FC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4C742D6"/>
    <w:multiLevelType w:val="hybridMultilevel"/>
    <w:tmpl w:val="9E1898D8"/>
    <w:lvl w:ilvl="0" w:tplc="511275BC">
      <w:start w:val="1"/>
      <w:numFmt w:val="lowerLetter"/>
      <w:lvlText w:val="%1."/>
      <w:lvlJc w:val="left"/>
      <w:pPr>
        <w:ind w:left="720" w:hanging="360"/>
      </w:pPr>
      <w:rPr>
        <w:rFonts w:hint="default"/>
      </w:rPr>
    </w:lvl>
    <w:lvl w:ilvl="1" w:tplc="2F38D536" w:tentative="1">
      <w:start w:val="1"/>
      <w:numFmt w:val="lowerLetter"/>
      <w:lvlText w:val="%2."/>
      <w:lvlJc w:val="left"/>
      <w:pPr>
        <w:ind w:left="1440" w:hanging="360"/>
      </w:pPr>
    </w:lvl>
    <w:lvl w:ilvl="2" w:tplc="264C8312" w:tentative="1">
      <w:start w:val="1"/>
      <w:numFmt w:val="lowerRoman"/>
      <w:lvlText w:val="%3."/>
      <w:lvlJc w:val="right"/>
      <w:pPr>
        <w:ind w:left="2160" w:hanging="180"/>
      </w:pPr>
    </w:lvl>
    <w:lvl w:ilvl="3" w:tplc="E272D518" w:tentative="1">
      <w:start w:val="1"/>
      <w:numFmt w:val="decimal"/>
      <w:lvlText w:val="%4."/>
      <w:lvlJc w:val="left"/>
      <w:pPr>
        <w:ind w:left="2880" w:hanging="360"/>
      </w:pPr>
    </w:lvl>
    <w:lvl w:ilvl="4" w:tplc="A7E0E556" w:tentative="1">
      <w:start w:val="1"/>
      <w:numFmt w:val="lowerLetter"/>
      <w:lvlText w:val="%5."/>
      <w:lvlJc w:val="left"/>
      <w:pPr>
        <w:ind w:left="3600" w:hanging="360"/>
      </w:pPr>
    </w:lvl>
    <w:lvl w:ilvl="5" w:tplc="B66E1ABA" w:tentative="1">
      <w:start w:val="1"/>
      <w:numFmt w:val="lowerRoman"/>
      <w:lvlText w:val="%6."/>
      <w:lvlJc w:val="right"/>
      <w:pPr>
        <w:ind w:left="4320" w:hanging="180"/>
      </w:pPr>
    </w:lvl>
    <w:lvl w:ilvl="6" w:tplc="9DCAC02A" w:tentative="1">
      <w:start w:val="1"/>
      <w:numFmt w:val="decimal"/>
      <w:lvlText w:val="%7."/>
      <w:lvlJc w:val="left"/>
      <w:pPr>
        <w:ind w:left="5040" w:hanging="360"/>
      </w:pPr>
    </w:lvl>
    <w:lvl w:ilvl="7" w:tplc="BC4A1CE0" w:tentative="1">
      <w:start w:val="1"/>
      <w:numFmt w:val="lowerLetter"/>
      <w:lvlText w:val="%8."/>
      <w:lvlJc w:val="left"/>
      <w:pPr>
        <w:ind w:left="5760" w:hanging="360"/>
      </w:pPr>
    </w:lvl>
    <w:lvl w:ilvl="8" w:tplc="18A61CF0" w:tentative="1">
      <w:start w:val="1"/>
      <w:numFmt w:val="lowerRoman"/>
      <w:lvlText w:val="%9."/>
      <w:lvlJc w:val="right"/>
      <w:pPr>
        <w:ind w:left="6480" w:hanging="180"/>
      </w:pPr>
    </w:lvl>
  </w:abstractNum>
  <w:abstractNum w:abstractNumId="2" w15:restartNumberingAfterBreak="0">
    <w:nsid w:val="19BF6C0A"/>
    <w:multiLevelType w:val="hybridMultilevel"/>
    <w:tmpl w:val="2F24D124"/>
    <w:lvl w:ilvl="0" w:tplc="31F61DA6">
      <w:start w:val="1"/>
      <w:numFmt w:val="decimal"/>
      <w:lvlText w:val="%1."/>
      <w:lvlJc w:val="left"/>
      <w:pPr>
        <w:ind w:left="720" w:hanging="360"/>
      </w:pPr>
    </w:lvl>
    <w:lvl w:ilvl="1" w:tplc="B4349E94" w:tentative="1">
      <w:start w:val="1"/>
      <w:numFmt w:val="lowerLetter"/>
      <w:lvlText w:val="%2."/>
      <w:lvlJc w:val="left"/>
      <w:pPr>
        <w:ind w:left="1440" w:hanging="360"/>
      </w:pPr>
    </w:lvl>
    <w:lvl w:ilvl="2" w:tplc="00F06208" w:tentative="1">
      <w:start w:val="1"/>
      <w:numFmt w:val="lowerRoman"/>
      <w:lvlText w:val="%3."/>
      <w:lvlJc w:val="right"/>
      <w:pPr>
        <w:ind w:left="2160" w:hanging="180"/>
      </w:pPr>
    </w:lvl>
    <w:lvl w:ilvl="3" w:tplc="33C0B850" w:tentative="1">
      <w:start w:val="1"/>
      <w:numFmt w:val="decimal"/>
      <w:lvlText w:val="%4."/>
      <w:lvlJc w:val="left"/>
      <w:pPr>
        <w:ind w:left="2880" w:hanging="360"/>
      </w:pPr>
    </w:lvl>
    <w:lvl w:ilvl="4" w:tplc="7BF6EAE4" w:tentative="1">
      <w:start w:val="1"/>
      <w:numFmt w:val="lowerLetter"/>
      <w:lvlText w:val="%5."/>
      <w:lvlJc w:val="left"/>
      <w:pPr>
        <w:ind w:left="3600" w:hanging="360"/>
      </w:pPr>
    </w:lvl>
    <w:lvl w:ilvl="5" w:tplc="B6FC8E56" w:tentative="1">
      <w:start w:val="1"/>
      <w:numFmt w:val="lowerRoman"/>
      <w:lvlText w:val="%6."/>
      <w:lvlJc w:val="right"/>
      <w:pPr>
        <w:ind w:left="4320" w:hanging="180"/>
      </w:pPr>
    </w:lvl>
    <w:lvl w:ilvl="6" w:tplc="0C22F3AE" w:tentative="1">
      <w:start w:val="1"/>
      <w:numFmt w:val="decimal"/>
      <w:lvlText w:val="%7."/>
      <w:lvlJc w:val="left"/>
      <w:pPr>
        <w:ind w:left="5040" w:hanging="360"/>
      </w:pPr>
    </w:lvl>
    <w:lvl w:ilvl="7" w:tplc="1248ABA0" w:tentative="1">
      <w:start w:val="1"/>
      <w:numFmt w:val="lowerLetter"/>
      <w:lvlText w:val="%8."/>
      <w:lvlJc w:val="left"/>
      <w:pPr>
        <w:ind w:left="5760" w:hanging="360"/>
      </w:pPr>
    </w:lvl>
    <w:lvl w:ilvl="8" w:tplc="B53A2252" w:tentative="1">
      <w:start w:val="1"/>
      <w:numFmt w:val="lowerRoman"/>
      <w:lvlText w:val="%9."/>
      <w:lvlJc w:val="right"/>
      <w:pPr>
        <w:ind w:left="6480" w:hanging="180"/>
      </w:pPr>
    </w:lvl>
  </w:abstractNum>
  <w:abstractNum w:abstractNumId="3" w15:restartNumberingAfterBreak="0">
    <w:nsid w:val="3D70276A"/>
    <w:multiLevelType w:val="hybridMultilevel"/>
    <w:tmpl w:val="3EF234AC"/>
    <w:lvl w:ilvl="0" w:tplc="0302A9B8">
      <w:start w:val="1"/>
      <w:numFmt w:val="lowerLetter"/>
      <w:lvlText w:val="%1."/>
      <w:lvlJc w:val="left"/>
      <w:pPr>
        <w:ind w:left="720" w:hanging="360"/>
      </w:pPr>
      <w:rPr>
        <w:rFonts w:hint="default"/>
      </w:rPr>
    </w:lvl>
    <w:lvl w:ilvl="1" w:tplc="9CF4CE1E" w:tentative="1">
      <w:start w:val="1"/>
      <w:numFmt w:val="lowerLetter"/>
      <w:lvlText w:val="%2."/>
      <w:lvlJc w:val="left"/>
      <w:pPr>
        <w:ind w:left="1440" w:hanging="360"/>
      </w:pPr>
    </w:lvl>
    <w:lvl w:ilvl="2" w:tplc="EF762A04" w:tentative="1">
      <w:start w:val="1"/>
      <w:numFmt w:val="lowerRoman"/>
      <w:lvlText w:val="%3."/>
      <w:lvlJc w:val="right"/>
      <w:pPr>
        <w:ind w:left="2160" w:hanging="180"/>
      </w:pPr>
    </w:lvl>
    <w:lvl w:ilvl="3" w:tplc="5C3CEAFC" w:tentative="1">
      <w:start w:val="1"/>
      <w:numFmt w:val="decimal"/>
      <w:lvlText w:val="%4."/>
      <w:lvlJc w:val="left"/>
      <w:pPr>
        <w:ind w:left="2880" w:hanging="360"/>
      </w:pPr>
    </w:lvl>
    <w:lvl w:ilvl="4" w:tplc="52AE4C02" w:tentative="1">
      <w:start w:val="1"/>
      <w:numFmt w:val="lowerLetter"/>
      <w:lvlText w:val="%5."/>
      <w:lvlJc w:val="left"/>
      <w:pPr>
        <w:ind w:left="3600" w:hanging="360"/>
      </w:pPr>
    </w:lvl>
    <w:lvl w:ilvl="5" w:tplc="452E4E7E" w:tentative="1">
      <w:start w:val="1"/>
      <w:numFmt w:val="lowerRoman"/>
      <w:lvlText w:val="%6."/>
      <w:lvlJc w:val="right"/>
      <w:pPr>
        <w:ind w:left="4320" w:hanging="180"/>
      </w:pPr>
    </w:lvl>
    <w:lvl w:ilvl="6" w:tplc="AAFC322A" w:tentative="1">
      <w:start w:val="1"/>
      <w:numFmt w:val="decimal"/>
      <w:lvlText w:val="%7."/>
      <w:lvlJc w:val="left"/>
      <w:pPr>
        <w:ind w:left="5040" w:hanging="360"/>
      </w:pPr>
    </w:lvl>
    <w:lvl w:ilvl="7" w:tplc="EB84D58A" w:tentative="1">
      <w:start w:val="1"/>
      <w:numFmt w:val="lowerLetter"/>
      <w:lvlText w:val="%8."/>
      <w:lvlJc w:val="left"/>
      <w:pPr>
        <w:ind w:left="5760" w:hanging="360"/>
      </w:pPr>
    </w:lvl>
    <w:lvl w:ilvl="8" w:tplc="B0EE3B40" w:tentative="1">
      <w:start w:val="1"/>
      <w:numFmt w:val="lowerRoman"/>
      <w:lvlText w:val="%9."/>
      <w:lvlJc w:val="right"/>
      <w:pPr>
        <w:ind w:left="6480" w:hanging="180"/>
      </w:pPr>
    </w:lvl>
  </w:abstractNum>
  <w:abstractNum w:abstractNumId="4" w15:restartNumberingAfterBreak="0">
    <w:nsid w:val="58877575"/>
    <w:multiLevelType w:val="multilevel"/>
    <w:tmpl w:val="921CD59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66244897"/>
    <w:multiLevelType w:val="hybridMultilevel"/>
    <w:tmpl w:val="2A8C8A92"/>
    <w:lvl w:ilvl="0" w:tplc="5968605E">
      <w:start w:val="1"/>
      <w:numFmt w:val="lowerLetter"/>
      <w:lvlText w:val="%1."/>
      <w:lvlJc w:val="left"/>
      <w:pPr>
        <w:ind w:left="720" w:hanging="360"/>
      </w:pPr>
      <w:rPr>
        <w:rFonts w:hint="default"/>
      </w:rPr>
    </w:lvl>
    <w:lvl w:ilvl="1" w:tplc="628C2748" w:tentative="1">
      <w:start w:val="1"/>
      <w:numFmt w:val="lowerLetter"/>
      <w:lvlText w:val="%2."/>
      <w:lvlJc w:val="left"/>
      <w:pPr>
        <w:ind w:left="1440" w:hanging="360"/>
      </w:pPr>
    </w:lvl>
    <w:lvl w:ilvl="2" w:tplc="644C4D12" w:tentative="1">
      <w:start w:val="1"/>
      <w:numFmt w:val="lowerRoman"/>
      <w:lvlText w:val="%3."/>
      <w:lvlJc w:val="right"/>
      <w:pPr>
        <w:ind w:left="2160" w:hanging="180"/>
      </w:pPr>
    </w:lvl>
    <w:lvl w:ilvl="3" w:tplc="0FBC14DA" w:tentative="1">
      <w:start w:val="1"/>
      <w:numFmt w:val="decimal"/>
      <w:lvlText w:val="%4."/>
      <w:lvlJc w:val="left"/>
      <w:pPr>
        <w:ind w:left="2880" w:hanging="360"/>
      </w:pPr>
    </w:lvl>
    <w:lvl w:ilvl="4" w:tplc="33BAB02C" w:tentative="1">
      <w:start w:val="1"/>
      <w:numFmt w:val="lowerLetter"/>
      <w:lvlText w:val="%5."/>
      <w:lvlJc w:val="left"/>
      <w:pPr>
        <w:ind w:left="3600" w:hanging="360"/>
      </w:pPr>
    </w:lvl>
    <w:lvl w:ilvl="5" w:tplc="286624D8" w:tentative="1">
      <w:start w:val="1"/>
      <w:numFmt w:val="lowerRoman"/>
      <w:lvlText w:val="%6."/>
      <w:lvlJc w:val="right"/>
      <w:pPr>
        <w:ind w:left="4320" w:hanging="180"/>
      </w:pPr>
    </w:lvl>
    <w:lvl w:ilvl="6" w:tplc="CD10625E" w:tentative="1">
      <w:start w:val="1"/>
      <w:numFmt w:val="decimal"/>
      <w:lvlText w:val="%7."/>
      <w:lvlJc w:val="left"/>
      <w:pPr>
        <w:ind w:left="5040" w:hanging="360"/>
      </w:pPr>
    </w:lvl>
    <w:lvl w:ilvl="7" w:tplc="4F746FF6" w:tentative="1">
      <w:start w:val="1"/>
      <w:numFmt w:val="lowerLetter"/>
      <w:lvlText w:val="%8."/>
      <w:lvlJc w:val="left"/>
      <w:pPr>
        <w:ind w:left="5760" w:hanging="360"/>
      </w:pPr>
    </w:lvl>
    <w:lvl w:ilvl="8" w:tplc="AC304C5E" w:tentative="1">
      <w:start w:val="1"/>
      <w:numFmt w:val="lowerRoman"/>
      <w:lvlText w:val="%9."/>
      <w:lvlJc w:val="right"/>
      <w:pPr>
        <w:ind w:left="6480" w:hanging="180"/>
      </w:pPr>
    </w:lvl>
  </w:abstractNum>
  <w:abstractNum w:abstractNumId="6" w15:restartNumberingAfterBreak="0">
    <w:nsid w:val="6B3D4322"/>
    <w:multiLevelType w:val="hybridMultilevel"/>
    <w:tmpl w:val="47202C7A"/>
    <w:lvl w:ilvl="0" w:tplc="FEB87218">
      <w:start w:val="1"/>
      <w:numFmt w:val="lowerLetter"/>
      <w:lvlText w:val="%1."/>
      <w:lvlJc w:val="left"/>
      <w:pPr>
        <w:ind w:left="720" w:hanging="360"/>
      </w:pPr>
    </w:lvl>
    <w:lvl w:ilvl="1" w:tplc="730AA894" w:tentative="1">
      <w:start w:val="1"/>
      <w:numFmt w:val="lowerLetter"/>
      <w:lvlText w:val="%2."/>
      <w:lvlJc w:val="left"/>
      <w:pPr>
        <w:ind w:left="1440" w:hanging="360"/>
      </w:pPr>
    </w:lvl>
    <w:lvl w:ilvl="2" w:tplc="DFA8CD7E" w:tentative="1">
      <w:start w:val="1"/>
      <w:numFmt w:val="lowerRoman"/>
      <w:lvlText w:val="%3."/>
      <w:lvlJc w:val="right"/>
      <w:pPr>
        <w:ind w:left="2160" w:hanging="180"/>
      </w:pPr>
    </w:lvl>
    <w:lvl w:ilvl="3" w:tplc="E2462C8E" w:tentative="1">
      <w:start w:val="1"/>
      <w:numFmt w:val="decimal"/>
      <w:lvlText w:val="%4."/>
      <w:lvlJc w:val="left"/>
      <w:pPr>
        <w:ind w:left="2880" w:hanging="360"/>
      </w:pPr>
    </w:lvl>
    <w:lvl w:ilvl="4" w:tplc="B95C8328" w:tentative="1">
      <w:start w:val="1"/>
      <w:numFmt w:val="lowerLetter"/>
      <w:lvlText w:val="%5."/>
      <w:lvlJc w:val="left"/>
      <w:pPr>
        <w:ind w:left="3600" w:hanging="360"/>
      </w:pPr>
    </w:lvl>
    <w:lvl w:ilvl="5" w:tplc="16FAC99C" w:tentative="1">
      <w:start w:val="1"/>
      <w:numFmt w:val="lowerRoman"/>
      <w:lvlText w:val="%6."/>
      <w:lvlJc w:val="right"/>
      <w:pPr>
        <w:ind w:left="4320" w:hanging="180"/>
      </w:pPr>
    </w:lvl>
    <w:lvl w:ilvl="6" w:tplc="F5CE760E" w:tentative="1">
      <w:start w:val="1"/>
      <w:numFmt w:val="decimal"/>
      <w:lvlText w:val="%7."/>
      <w:lvlJc w:val="left"/>
      <w:pPr>
        <w:ind w:left="5040" w:hanging="360"/>
      </w:pPr>
    </w:lvl>
    <w:lvl w:ilvl="7" w:tplc="59BAA946" w:tentative="1">
      <w:start w:val="1"/>
      <w:numFmt w:val="lowerLetter"/>
      <w:lvlText w:val="%8."/>
      <w:lvlJc w:val="left"/>
      <w:pPr>
        <w:ind w:left="5760" w:hanging="360"/>
      </w:pPr>
    </w:lvl>
    <w:lvl w:ilvl="8" w:tplc="7CAAE8B8" w:tentative="1">
      <w:start w:val="1"/>
      <w:numFmt w:val="lowerRoman"/>
      <w:lvlText w:val="%9."/>
      <w:lvlJc w:val="right"/>
      <w:pPr>
        <w:ind w:left="6480" w:hanging="180"/>
      </w:pPr>
    </w:lvl>
  </w:abstractNum>
  <w:abstractNum w:abstractNumId="7" w15:restartNumberingAfterBreak="0">
    <w:nsid w:val="6D07067A"/>
    <w:multiLevelType w:val="hybridMultilevel"/>
    <w:tmpl w:val="FF5C1EFA"/>
    <w:lvl w:ilvl="0" w:tplc="65284720">
      <w:start w:val="1"/>
      <w:numFmt w:val="lowerLetter"/>
      <w:lvlText w:val="%1."/>
      <w:lvlJc w:val="left"/>
      <w:pPr>
        <w:ind w:left="720" w:hanging="360"/>
      </w:pPr>
      <w:rPr>
        <w:rFonts w:hint="default"/>
      </w:rPr>
    </w:lvl>
    <w:lvl w:ilvl="1" w:tplc="1E88A9C6" w:tentative="1">
      <w:start w:val="1"/>
      <w:numFmt w:val="lowerLetter"/>
      <w:lvlText w:val="%2."/>
      <w:lvlJc w:val="left"/>
      <w:pPr>
        <w:ind w:left="1440" w:hanging="360"/>
      </w:pPr>
    </w:lvl>
    <w:lvl w:ilvl="2" w:tplc="87DC7F38" w:tentative="1">
      <w:start w:val="1"/>
      <w:numFmt w:val="lowerRoman"/>
      <w:lvlText w:val="%3."/>
      <w:lvlJc w:val="right"/>
      <w:pPr>
        <w:ind w:left="2160" w:hanging="180"/>
      </w:pPr>
    </w:lvl>
    <w:lvl w:ilvl="3" w:tplc="EB70D1A4" w:tentative="1">
      <w:start w:val="1"/>
      <w:numFmt w:val="decimal"/>
      <w:lvlText w:val="%4."/>
      <w:lvlJc w:val="left"/>
      <w:pPr>
        <w:ind w:left="2880" w:hanging="360"/>
      </w:pPr>
    </w:lvl>
    <w:lvl w:ilvl="4" w:tplc="38E29E08" w:tentative="1">
      <w:start w:val="1"/>
      <w:numFmt w:val="lowerLetter"/>
      <w:lvlText w:val="%5."/>
      <w:lvlJc w:val="left"/>
      <w:pPr>
        <w:ind w:left="3600" w:hanging="360"/>
      </w:pPr>
    </w:lvl>
    <w:lvl w:ilvl="5" w:tplc="330A7D22" w:tentative="1">
      <w:start w:val="1"/>
      <w:numFmt w:val="lowerRoman"/>
      <w:lvlText w:val="%6."/>
      <w:lvlJc w:val="right"/>
      <w:pPr>
        <w:ind w:left="4320" w:hanging="180"/>
      </w:pPr>
    </w:lvl>
    <w:lvl w:ilvl="6" w:tplc="DF5AFF82" w:tentative="1">
      <w:start w:val="1"/>
      <w:numFmt w:val="decimal"/>
      <w:lvlText w:val="%7."/>
      <w:lvlJc w:val="left"/>
      <w:pPr>
        <w:ind w:left="5040" w:hanging="360"/>
      </w:pPr>
    </w:lvl>
    <w:lvl w:ilvl="7" w:tplc="A49C9766" w:tentative="1">
      <w:start w:val="1"/>
      <w:numFmt w:val="lowerLetter"/>
      <w:lvlText w:val="%8."/>
      <w:lvlJc w:val="left"/>
      <w:pPr>
        <w:ind w:left="5760" w:hanging="360"/>
      </w:pPr>
    </w:lvl>
    <w:lvl w:ilvl="8" w:tplc="C114A394" w:tentative="1">
      <w:start w:val="1"/>
      <w:numFmt w:val="lowerRoman"/>
      <w:lvlText w:val="%9."/>
      <w:lvlJc w:val="right"/>
      <w:pPr>
        <w:ind w:left="6480" w:hanging="180"/>
      </w:pPr>
    </w:lvl>
  </w:abstractNum>
  <w:abstractNum w:abstractNumId="8" w15:restartNumberingAfterBreak="0">
    <w:nsid w:val="71A75186"/>
    <w:multiLevelType w:val="hybridMultilevel"/>
    <w:tmpl w:val="46AE017C"/>
    <w:lvl w:ilvl="0" w:tplc="46F81C48">
      <w:start w:val="1"/>
      <w:numFmt w:val="lowerLetter"/>
      <w:lvlText w:val="%1."/>
      <w:lvlJc w:val="left"/>
      <w:pPr>
        <w:ind w:left="1080" w:hanging="360"/>
      </w:pPr>
      <w:rPr>
        <w:rFonts w:hint="default"/>
      </w:rPr>
    </w:lvl>
    <w:lvl w:ilvl="1" w:tplc="5098318C" w:tentative="1">
      <w:start w:val="1"/>
      <w:numFmt w:val="lowerLetter"/>
      <w:lvlText w:val="%2."/>
      <w:lvlJc w:val="left"/>
      <w:pPr>
        <w:ind w:left="1800" w:hanging="360"/>
      </w:pPr>
    </w:lvl>
    <w:lvl w:ilvl="2" w:tplc="3CC48868" w:tentative="1">
      <w:start w:val="1"/>
      <w:numFmt w:val="lowerRoman"/>
      <w:lvlText w:val="%3."/>
      <w:lvlJc w:val="right"/>
      <w:pPr>
        <w:ind w:left="2520" w:hanging="180"/>
      </w:pPr>
    </w:lvl>
    <w:lvl w:ilvl="3" w:tplc="73B2FBE6" w:tentative="1">
      <w:start w:val="1"/>
      <w:numFmt w:val="decimal"/>
      <w:lvlText w:val="%4."/>
      <w:lvlJc w:val="left"/>
      <w:pPr>
        <w:ind w:left="3240" w:hanging="360"/>
      </w:pPr>
    </w:lvl>
    <w:lvl w:ilvl="4" w:tplc="730C1D28" w:tentative="1">
      <w:start w:val="1"/>
      <w:numFmt w:val="lowerLetter"/>
      <w:lvlText w:val="%5."/>
      <w:lvlJc w:val="left"/>
      <w:pPr>
        <w:ind w:left="3960" w:hanging="360"/>
      </w:pPr>
    </w:lvl>
    <w:lvl w:ilvl="5" w:tplc="CC9AE78E" w:tentative="1">
      <w:start w:val="1"/>
      <w:numFmt w:val="lowerRoman"/>
      <w:lvlText w:val="%6."/>
      <w:lvlJc w:val="right"/>
      <w:pPr>
        <w:ind w:left="4680" w:hanging="180"/>
      </w:pPr>
    </w:lvl>
    <w:lvl w:ilvl="6" w:tplc="CDC0D5E4" w:tentative="1">
      <w:start w:val="1"/>
      <w:numFmt w:val="decimal"/>
      <w:lvlText w:val="%7."/>
      <w:lvlJc w:val="left"/>
      <w:pPr>
        <w:ind w:left="5400" w:hanging="360"/>
      </w:pPr>
    </w:lvl>
    <w:lvl w:ilvl="7" w:tplc="27ECD086" w:tentative="1">
      <w:start w:val="1"/>
      <w:numFmt w:val="lowerLetter"/>
      <w:lvlText w:val="%8."/>
      <w:lvlJc w:val="left"/>
      <w:pPr>
        <w:ind w:left="6120" w:hanging="360"/>
      </w:pPr>
    </w:lvl>
    <w:lvl w:ilvl="8" w:tplc="4BAEA882" w:tentative="1">
      <w:start w:val="1"/>
      <w:numFmt w:val="lowerRoman"/>
      <w:lvlText w:val="%9."/>
      <w:lvlJc w:val="right"/>
      <w:pPr>
        <w:ind w:left="6840" w:hanging="180"/>
      </w:pPr>
    </w:lvl>
  </w:abstractNum>
  <w:abstractNum w:abstractNumId="9" w15:restartNumberingAfterBreak="0">
    <w:nsid w:val="73F25701"/>
    <w:multiLevelType w:val="hybridMultilevel"/>
    <w:tmpl w:val="2D462F60"/>
    <w:lvl w:ilvl="0" w:tplc="1FC2C0C2">
      <w:start w:val="1"/>
      <w:numFmt w:val="lowerLetter"/>
      <w:lvlText w:val="%1."/>
      <w:lvlJc w:val="left"/>
      <w:pPr>
        <w:ind w:left="720" w:hanging="360"/>
      </w:pPr>
      <w:rPr>
        <w:rFonts w:hint="default"/>
      </w:rPr>
    </w:lvl>
    <w:lvl w:ilvl="1" w:tplc="65304CA8" w:tentative="1">
      <w:start w:val="1"/>
      <w:numFmt w:val="lowerLetter"/>
      <w:lvlText w:val="%2."/>
      <w:lvlJc w:val="left"/>
      <w:pPr>
        <w:ind w:left="1440" w:hanging="360"/>
      </w:pPr>
    </w:lvl>
    <w:lvl w:ilvl="2" w:tplc="54D04AFA" w:tentative="1">
      <w:start w:val="1"/>
      <w:numFmt w:val="lowerRoman"/>
      <w:lvlText w:val="%3."/>
      <w:lvlJc w:val="right"/>
      <w:pPr>
        <w:ind w:left="2160" w:hanging="180"/>
      </w:pPr>
    </w:lvl>
    <w:lvl w:ilvl="3" w:tplc="C602CA4C" w:tentative="1">
      <w:start w:val="1"/>
      <w:numFmt w:val="decimal"/>
      <w:lvlText w:val="%4."/>
      <w:lvlJc w:val="left"/>
      <w:pPr>
        <w:ind w:left="2880" w:hanging="360"/>
      </w:pPr>
    </w:lvl>
    <w:lvl w:ilvl="4" w:tplc="8098B8C8" w:tentative="1">
      <w:start w:val="1"/>
      <w:numFmt w:val="lowerLetter"/>
      <w:lvlText w:val="%5."/>
      <w:lvlJc w:val="left"/>
      <w:pPr>
        <w:ind w:left="3600" w:hanging="360"/>
      </w:pPr>
    </w:lvl>
    <w:lvl w:ilvl="5" w:tplc="88DAA070" w:tentative="1">
      <w:start w:val="1"/>
      <w:numFmt w:val="lowerRoman"/>
      <w:lvlText w:val="%6."/>
      <w:lvlJc w:val="right"/>
      <w:pPr>
        <w:ind w:left="4320" w:hanging="180"/>
      </w:pPr>
    </w:lvl>
    <w:lvl w:ilvl="6" w:tplc="6BC6047C" w:tentative="1">
      <w:start w:val="1"/>
      <w:numFmt w:val="decimal"/>
      <w:lvlText w:val="%7."/>
      <w:lvlJc w:val="left"/>
      <w:pPr>
        <w:ind w:left="5040" w:hanging="360"/>
      </w:pPr>
    </w:lvl>
    <w:lvl w:ilvl="7" w:tplc="66788B3C" w:tentative="1">
      <w:start w:val="1"/>
      <w:numFmt w:val="lowerLetter"/>
      <w:lvlText w:val="%8."/>
      <w:lvlJc w:val="left"/>
      <w:pPr>
        <w:ind w:left="5760" w:hanging="360"/>
      </w:pPr>
    </w:lvl>
    <w:lvl w:ilvl="8" w:tplc="079AF39E" w:tentative="1">
      <w:start w:val="1"/>
      <w:numFmt w:val="lowerRoman"/>
      <w:lvlText w:val="%9."/>
      <w:lvlJc w:val="right"/>
      <w:pPr>
        <w:ind w:left="6480" w:hanging="180"/>
      </w:pPr>
    </w:lvl>
  </w:abstractNum>
  <w:abstractNum w:abstractNumId="10" w15:restartNumberingAfterBreak="0">
    <w:nsid w:val="760C72D1"/>
    <w:multiLevelType w:val="hybridMultilevel"/>
    <w:tmpl w:val="4D7CF2C4"/>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230725094">
    <w:abstractNumId w:val="4"/>
  </w:num>
  <w:num w:numId="2" w16cid:durableId="1153520463">
    <w:abstractNumId w:val="3"/>
  </w:num>
  <w:num w:numId="3" w16cid:durableId="806700587">
    <w:abstractNumId w:val="9"/>
  </w:num>
  <w:num w:numId="4" w16cid:durableId="1474101369">
    <w:abstractNumId w:val="8"/>
  </w:num>
  <w:num w:numId="5" w16cid:durableId="1238828553">
    <w:abstractNumId w:val="7"/>
  </w:num>
  <w:num w:numId="6" w16cid:durableId="1943027632">
    <w:abstractNumId w:val="2"/>
  </w:num>
  <w:num w:numId="7" w16cid:durableId="1210917513">
    <w:abstractNumId w:val="1"/>
  </w:num>
  <w:num w:numId="8" w16cid:durableId="451049582">
    <w:abstractNumId w:val="5"/>
  </w:num>
  <w:num w:numId="9" w16cid:durableId="1335761421">
    <w:abstractNumId w:val="6"/>
  </w:num>
  <w:num w:numId="10" w16cid:durableId="494732034">
    <w:abstractNumId w:val="0"/>
  </w:num>
  <w:num w:numId="11" w16cid:durableId="10896230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380"/>
    <w:rsid w:val="00000BD6"/>
    <w:rsid w:val="00002AA6"/>
    <w:rsid w:val="000075B5"/>
    <w:rsid w:val="000131E6"/>
    <w:rsid w:val="000144D7"/>
    <w:rsid w:val="00015897"/>
    <w:rsid w:val="00021E3D"/>
    <w:rsid w:val="00022711"/>
    <w:rsid w:val="00024EF3"/>
    <w:rsid w:val="000337B7"/>
    <w:rsid w:val="0003749E"/>
    <w:rsid w:val="000419FC"/>
    <w:rsid w:val="0004353E"/>
    <w:rsid w:val="00046F25"/>
    <w:rsid w:val="000477E3"/>
    <w:rsid w:val="00051D20"/>
    <w:rsid w:val="00055814"/>
    <w:rsid w:val="000644E5"/>
    <w:rsid w:val="00067FB3"/>
    <w:rsid w:val="00071572"/>
    <w:rsid w:val="0008524F"/>
    <w:rsid w:val="00085681"/>
    <w:rsid w:val="00092791"/>
    <w:rsid w:val="00092935"/>
    <w:rsid w:val="00095E44"/>
    <w:rsid w:val="000A06AD"/>
    <w:rsid w:val="000A4EA2"/>
    <w:rsid w:val="000A5219"/>
    <w:rsid w:val="000B1358"/>
    <w:rsid w:val="000B1EDC"/>
    <w:rsid w:val="000B7442"/>
    <w:rsid w:val="000D0CC2"/>
    <w:rsid w:val="000D65B3"/>
    <w:rsid w:val="000D7E67"/>
    <w:rsid w:val="000E2021"/>
    <w:rsid w:val="000E5A28"/>
    <w:rsid w:val="000F17C9"/>
    <w:rsid w:val="000F1C72"/>
    <w:rsid w:val="000F6755"/>
    <w:rsid w:val="000F6BC8"/>
    <w:rsid w:val="00100B03"/>
    <w:rsid w:val="0010109C"/>
    <w:rsid w:val="00101A71"/>
    <w:rsid w:val="001053C0"/>
    <w:rsid w:val="001133B7"/>
    <w:rsid w:val="001167A6"/>
    <w:rsid w:val="00121B44"/>
    <w:rsid w:val="001240E1"/>
    <w:rsid w:val="00126308"/>
    <w:rsid w:val="001321BA"/>
    <w:rsid w:val="001440DD"/>
    <w:rsid w:val="00156839"/>
    <w:rsid w:val="00156A23"/>
    <w:rsid w:val="001606BA"/>
    <w:rsid w:val="00162E3C"/>
    <w:rsid w:val="00162FC2"/>
    <w:rsid w:val="001762BD"/>
    <w:rsid w:val="0017761A"/>
    <w:rsid w:val="00177B68"/>
    <w:rsid w:val="00180866"/>
    <w:rsid w:val="00187652"/>
    <w:rsid w:val="00191C05"/>
    <w:rsid w:val="001944D9"/>
    <w:rsid w:val="0019532E"/>
    <w:rsid w:val="00195AA5"/>
    <w:rsid w:val="001A1622"/>
    <w:rsid w:val="001A1CC1"/>
    <w:rsid w:val="001A5F1B"/>
    <w:rsid w:val="001A6717"/>
    <w:rsid w:val="001A7445"/>
    <w:rsid w:val="001B0236"/>
    <w:rsid w:val="001B6590"/>
    <w:rsid w:val="001C6BA3"/>
    <w:rsid w:val="001D1A3D"/>
    <w:rsid w:val="001D5352"/>
    <w:rsid w:val="001D6B8C"/>
    <w:rsid w:val="001E33E9"/>
    <w:rsid w:val="001E6A7B"/>
    <w:rsid w:val="001F202F"/>
    <w:rsid w:val="001F38F9"/>
    <w:rsid w:val="001F6D0E"/>
    <w:rsid w:val="001F7020"/>
    <w:rsid w:val="001F7E36"/>
    <w:rsid w:val="00206C3D"/>
    <w:rsid w:val="00211C84"/>
    <w:rsid w:val="00224B8C"/>
    <w:rsid w:val="0022722D"/>
    <w:rsid w:val="00232CFF"/>
    <w:rsid w:val="00233CD3"/>
    <w:rsid w:val="00234319"/>
    <w:rsid w:val="0023604D"/>
    <w:rsid w:val="002426E6"/>
    <w:rsid w:val="002440E1"/>
    <w:rsid w:val="00245A94"/>
    <w:rsid w:val="00247DE9"/>
    <w:rsid w:val="002509F1"/>
    <w:rsid w:val="00261AF1"/>
    <w:rsid w:val="0026416C"/>
    <w:rsid w:val="00265429"/>
    <w:rsid w:val="00274CBB"/>
    <w:rsid w:val="00276976"/>
    <w:rsid w:val="00282538"/>
    <w:rsid w:val="00286BFB"/>
    <w:rsid w:val="00286C7C"/>
    <w:rsid w:val="00296252"/>
    <w:rsid w:val="002D533C"/>
    <w:rsid w:val="002D7D1F"/>
    <w:rsid w:val="002E5F3D"/>
    <w:rsid w:val="002E737B"/>
    <w:rsid w:val="002F16D7"/>
    <w:rsid w:val="002F2F04"/>
    <w:rsid w:val="00301C39"/>
    <w:rsid w:val="00304889"/>
    <w:rsid w:val="00306E65"/>
    <w:rsid w:val="00307FC9"/>
    <w:rsid w:val="00311095"/>
    <w:rsid w:val="00314032"/>
    <w:rsid w:val="0031557C"/>
    <w:rsid w:val="00316D7E"/>
    <w:rsid w:val="00323204"/>
    <w:rsid w:val="00324621"/>
    <w:rsid w:val="00327224"/>
    <w:rsid w:val="003301F5"/>
    <w:rsid w:val="00335E55"/>
    <w:rsid w:val="00340753"/>
    <w:rsid w:val="003449E7"/>
    <w:rsid w:val="00352398"/>
    <w:rsid w:val="00353576"/>
    <w:rsid w:val="00365478"/>
    <w:rsid w:val="00372CFC"/>
    <w:rsid w:val="00375167"/>
    <w:rsid w:val="00381C8A"/>
    <w:rsid w:val="003835B8"/>
    <w:rsid w:val="00385459"/>
    <w:rsid w:val="00394F94"/>
    <w:rsid w:val="003B0C7C"/>
    <w:rsid w:val="003B11C9"/>
    <w:rsid w:val="003C2EBE"/>
    <w:rsid w:val="003C35B1"/>
    <w:rsid w:val="003C36BD"/>
    <w:rsid w:val="003C3779"/>
    <w:rsid w:val="003C3E8F"/>
    <w:rsid w:val="003C4C54"/>
    <w:rsid w:val="003C7DED"/>
    <w:rsid w:val="003F257C"/>
    <w:rsid w:val="003F28BF"/>
    <w:rsid w:val="003F3325"/>
    <w:rsid w:val="004072AF"/>
    <w:rsid w:val="0041459F"/>
    <w:rsid w:val="0041629E"/>
    <w:rsid w:val="004255E9"/>
    <w:rsid w:val="0043375F"/>
    <w:rsid w:val="00433F5C"/>
    <w:rsid w:val="004348D7"/>
    <w:rsid w:val="00434A2C"/>
    <w:rsid w:val="00435A9B"/>
    <w:rsid w:val="004407EE"/>
    <w:rsid w:val="00442A6D"/>
    <w:rsid w:val="00451303"/>
    <w:rsid w:val="004516CC"/>
    <w:rsid w:val="00456F76"/>
    <w:rsid w:val="00461AE9"/>
    <w:rsid w:val="004677A1"/>
    <w:rsid w:val="00472C47"/>
    <w:rsid w:val="00473015"/>
    <w:rsid w:val="00474EC0"/>
    <w:rsid w:val="004759C5"/>
    <w:rsid w:val="00481A3D"/>
    <w:rsid w:val="00483689"/>
    <w:rsid w:val="004869E9"/>
    <w:rsid w:val="00490442"/>
    <w:rsid w:val="004A18FF"/>
    <w:rsid w:val="004A2030"/>
    <w:rsid w:val="004B641D"/>
    <w:rsid w:val="004B717C"/>
    <w:rsid w:val="004C434E"/>
    <w:rsid w:val="004C487B"/>
    <w:rsid w:val="004C4D13"/>
    <w:rsid w:val="004C756B"/>
    <w:rsid w:val="004E16ED"/>
    <w:rsid w:val="004E75C7"/>
    <w:rsid w:val="004E7643"/>
    <w:rsid w:val="004F014D"/>
    <w:rsid w:val="004F0F44"/>
    <w:rsid w:val="004F2898"/>
    <w:rsid w:val="004F326D"/>
    <w:rsid w:val="004F3D85"/>
    <w:rsid w:val="005002FE"/>
    <w:rsid w:val="005107EE"/>
    <w:rsid w:val="00510D4A"/>
    <w:rsid w:val="005170A0"/>
    <w:rsid w:val="00521CA7"/>
    <w:rsid w:val="00530136"/>
    <w:rsid w:val="00533842"/>
    <w:rsid w:val="00535CF5"/>
    <w:rsid w:val="00541623"/>
    <w:rsid w:val="00544090"/>
    <w:rsid w:val="00546588"/>
    <w:rsid w:val="005468E7"/>
    <w:rsid w:val="00557393"/>
    <w:rsid w:val="00557E0D"/>
    <w:rsid w:val="00565E77"/>
    <w:rsid w:val="005660F5"/>
    <w:rsid w:val="005727D1"/>
    <w:rsid w:val="00575FC6"/>
    <w:rsid w:val="00586F7D"/>
    <w:rsid w:val="005928A2"/>
    <w:rsid w:val="00592BBE"/>
    <w:rsid w:val="0059302E"/>
    <w:rsid w:val="00593588"/>
    <w:rsid w:val="005A0372"/>
    <w:rsid w:val="005A0859"/>
    <w:rsid w:val="005A2137"/>
    <w:rsid w:val="005A3D89"/>
    <w:rsid w:val="005A4D7A"/>
    <w:rsid w:val="005B0FE3"/>
    <w:rsid w:val="005B15F6"/>
    <w:rsid w:val="005B3700"/>
    <w:rsid w:val="005B3760"/>
    <w:rsid w:val="005C17E1"/>
    <w:rsid w:val="005C7456"/>
    <w:rsid w:val="005D083F"/>
    <w:rsid w:val="005D372F"/>
    <w:rsid w:val="005D7679"/>
    <w:rsid w:val="005E41F3"/>
    <w:rsid w:val="005F076A"/>
    <w:rsid w:val="005F5E78"/>
    <w:rsid w:val="00600817"/>
    <w:rsid w:val="00602407"/>
    <w:rsid w:val="00602926"/>
    <w:rsid w:val="00602D46"/>
    <w:rsid w:val="0060395F"/>
    <w:rsid w:val="00612417"/>
    <w:rsid w:val="00612589"/>
    <w:rsid w:val="00614FDB"/>
    <w:rsid w:val="00615C5A"/>
    <w:rsid w:val="00621047"/>
    <w:rsid w:val="00624168"/>
    <w:rsid w:val="0062551E"/>
    <w:rsid w:val="00637F72"/>
    <w:rsid w:val="006421C8"/>
    <w:rsid w:val="00652F87"/>
    <w:rsid w:val="006531AD"/>
    <w:rsid w:val="00655916"/>
    <w:rsid w:val="00665CD1"/>
    <w:rsid w:val="0067521E"/>
    <w:rsid w:val="006771BE"/>
    <w:rsid w:val="00684E0F"/>
    <w:rsid w:val="00695669"/>
    <w:rsid w:val="006A50A6"/>
    <w:rsid w:val="006A5BA3"/>
    <w:rsid w:val="006A6C11"/>
    <w:rsid w:val="006A7DBA"/>
    <w:rsid w:val="006B141E"/>
    <w:rsid w:val="006B3DC8"/>
    <w:rsid w:val="006C1E38"/>
    <w:rsid w:val="006C33DB"/>
    <w:rsid w:val="006C518F"/>
    <w:rsid w:val="006D3FC8"/>
    <w:rsid w:val="006E2367"/>
    <w:rsid w:val="006E4099"/>
    <w:rsid w:val="006F1833"/>
    <w:rsid w:val="006F5726"/>
    <w:rsid w:val="006F797C"/>
    <w:rsid w:val="00700E71"/>
    <w:rsid w:val="0070321A"/>
    <w:rsid w:val="0071227C"/>
    <w:rsid w:val="007124AC"/>
    <w:rsid w:val="00714D36"/>
    <w:rsid w:val="00716E7C"/>
    <w:rsid w:val="0071716C"/>
    <w:rsid w:val="00717B7D"/>
    <w:rsid w:val="00721017"/>
    <w:rsid w:val="0072180E"/>
    <w:rsid w:val="007449F7"/>
    <w:rsid w:val="00744B43"/>
    <w:rsid w:val="00750D2A"/>
    <w:rsid w:val="00751B8D"/>
    <w:rsid w:val="00752380"/>
    <w:rsid w:val="00753125"/>
    <w:rsid w:val="007551BE"/>
    <w:rsid w:val="00764984"/>
    <w:rsid w:val="007669FE"/>
    <w:rsid w:val="00772222"/>
    <w:rsid w:val="00772365"/>
    <w:rsid w:val="007906A2"/>
    <w:rsid w:val="00792B5E"/>
    <w:rsid w:val="00795300"/>
    <w:rsid w:val="00796415"/>
    <w:rsid w:val="007A15CC"/>
    <w:rsid w:val="007B596D"/>
    <w:rsid w:val="007B703B"/>
    <w:rsid w:val="007C0F07"/>
    <w:rsid w:val="007C45C3"/>
    <w:rsid w:val="007C5D96"/>
    <w:rsid w:val="007D103D"/>
    <w:rsid w:val="007D29AE"/>
    <w:rsid w:val="007D31C2"/>
    <w:rsid w:val="007D52A3"/>
    <w:rsid w:val="007D6F2D"/>
    <w:rsid w:val="007E30D3"/>
    <w:rsid w:val="007E3A3D"/>
    <w:rsid w:val="007E5555"/>
    <w:rsid w:val="007E58FB"/>
    <w:rsid w:val="007E676B"/>
    <w:rsid w:val="00800A4A"/>
    <w:rsid w:val="0081351A"/>
    <w:rsid w:val="008144FD"/>
    <w:rsid w:val="0082367E"/>
    <w:rsid w:val="00823F82"/>
    <w:rsid w:val="008368EF"/>
    <w:rsid w:val="0084627A"/>
    <w:rsid w:val="00846E33"/>
    <w:rsid w:val="00861903"/>
    <w:rsid w:val="00863D04"/>
    <w:rsid w:val="008653FC"/>
    <w:rsid w:val="008658B5"/>
    <w:rsid w:val="008667F3"/>
    <w:rsid w:val="0086798B"/>
    <w:rsid w:val="00867EA8"/>
    <w:rsid w:val="00873A3A"/>
    <w:rsid w:val="00875949"/>
    <w:rsid w:val="00882BA3"/>
    <w:rsid w:val="00883690"/>
    <w:rsid w:val="008B17B6"/>
    <w:rsid w:val="008B3F56"/>
    <w:rsid w:val="008C27EF"/>
    <w:rsid w:val="008E0BDC"/>
    <w:rsid w:val="008F5A5A"/>
    <w:rsid w:val="009103FF"/>
    <w:rsid w:val="00913B74"/>
    <w:rsid w:val="00915C04"/>
    <w:rsid w:val="00915D1E"/>
    <w:rsid w:val="009163D0"/>
    <w:rsid w:val="00933CD7"/>
    <w:rsid w:val="00943FBA"/>
    <w:rsid w:val="0096573F"/>
    <w:rsid w:val="00973096"/>
    <w:rsid w:val="0097495B"/>
    <w:rsid w:val="0098072F"/>
    <w:rsid w:val="00981D15"/>
    <w:rsid w:val="00982FEA"/>
    <w:rsid w:val="00987E17"/>
    <w:rsid w:val="00990BE1"/>
    <w:rsid w:val="00994FC4"/>
    <w:rsid w:val="00996DBD"/>
    <w:rsid w:val="009A0E47"/>
    <w:rsid w:val="009B1D8A"/>
    <w:rsid w:val="009C2C33"/>
    <w:rsid w:val="009C3EAF"/>
    <w:rsid w:val="009D1279"/>
    <w:rsid w:val="009E44D3"/>
    <w:rsid w:val="009F05A1"/>
    <w:rsid w:val="00A001A9"/>
    <w:rsid w:val="00A01827"/>
    <w:rsid w:val="00A028C4"/>
    <w:rsid w:val="00A03ECA"/>
    <w:rsid w:val="00A055C2"/>
    <w:rsid w:val="00A23673"/>
    <w:rsid w:val="00A27A14"/>
    <w:rsid w:val="00A30D4E"/>
    <w:rsid w:val="00A311D5"/>
    <w:rsid w:val="00A3391E"/>
    <w:rsid w:val="00A3397F"/>
    <w:rsid w:val="00A41EEF"/>
    <w:rsid w:val="00A459A2"/>
    <w:rsid w:val="00A534BC"/>
    <w:rsid w:val="00A538EB"/>
    <w:rsid w:val="00A55A5E"/>
    <w:rsid w:val="00A60800"/>
    <w:rsid w:val="00A6127D"/>
    <w:rsid w:val="00A61919"/>
    <w:rsid w:val="00A65240"/>
    <w:rsid w:val="00A7180B"/>
    <w:rsid w:val="00A73123"/>
    <w:rsid w:val="00A75B50"/>
    <w:rsid w:val="00A84755"/>
    <w:rsid w:val="00A9561B"/>
    <w:rsid w:val="00A95654"/>
    <w:rsid w:val="00A95DA3"/>
    <w:rsid w:val="00AA4187"/>
    <w:rsid w:val="00AA519D"/>
    <w:rsid w:val="00AB057D"/>
    <w:rsid w:val="00AB4354"/>
    <w:rsid w:val="00AB5DCB"/>
    <w:rsid w:val="00AB6715"/>
    <w:rsid w:val="00AB7125"/>
    <w:rsid w:val="00AC45BA"/>
    <w:rsid w:val="00AC4A66"/>
    <w:rsid w:val="00AC6D2C"/>
    <w:rsid w:val="00AD1470"/>
    <w:rsid w:val="00AE6DA3"/>
    <w:rsid w:val="00AF157C"/>
    <w:rsid w:val="00AF2FE2"/>
    <w:rsid w:val="00B02392"/>
    <w:rsid w:val="00B102A1"/>
    <w:rsid w:val="00B1052B"/>
    <w:rsid w:val="00B10C12"/>
    <w:rsid w:val="00B2013E"/>
    <w:rsid w:val="00B20B37"/>
    <w:rsid w:val="00B2377B"/>
    <w:rsid w:val="00B25056"/>
    <w:rsid w:val="00B25D63"/>
    <w:rsid w:val="00B26C0D"/>
    <w:rsid w:val="00B27288"/>
    <w:rsid w:val="00B442B4"/>
    <w:rsid w:val="00B45F78"/>
    <w:rsid w:val="00B477CB"/>
    <w:rsid w:val="00B47977"/>
    <w:rsid w:val="00B50745"/>
    <w:rsid w:val="00B55CEC"/>
    <w:rsid w:val="00B57394"/>
    <w:rsid w:val="00B616A4"/>
    <w:rsid w:val="00B65CA7"/>
    <w:rsid w:val="00B70490"/>
    <w:rsid w:val="00B7181D"/>
    <w:rsid w:val="00B765F8"/>
    <w:rsid w:val="00B80DB3"/>
    <w:rsid w:val="00B91836"/>
    <w:rsid w:val="00B93CEE"/>
    <w:rsid w:val="00B948BD"/>
    <w:rsid w:val="00B95C9E"/>
    <w:rsid w:val="00B97401"/>
    <w:rsid w:val="00BA0453"/>
    <w:rsid w:val="00BA6718"/>
    <w:rsid w:val="00BB194E"/>
    <w:rsid w:val="00BB534A"/>
    <w:rsid w:val="00BB6784"/>
    <w:rsid w:val="00BB6B0C"/>
    <w:rsid w:val="00BC242E"/>
    <w:rsid w:val="00BC7A82"/>
    <w:rsid w:val="00BE32BE"/>
    <w:rsid w:val="00BE6F96"/>
    <w:rsid w:val="00BE7825"/>
    <w:rsid w:val="00BF130A"/>
    <w:rsid w:val="00BF4307"/>
    <w:rsid w:val="00C032F9"/>
    <w:rsid w:val="00C200CC"/>
    <w:rsid w:val="00C20256"/>
    <w:rsid w:val="00C20B85"/>
    <w:rsid w:val="00C23EEC"/>
    <w:rsid w:val="00C24962"/>
    <w:rsid w:val="00C30C37"/>
    <w:rsid w:val="00C30D43"/>
    <w:rsid w:val="00C35C05"/>
    <w:rsid w:val="00C411F5"/>
    <w:rsid w:val="00C43E12"/>
    <w:rsid w:val="00C47712"/>
    <w:rsid w:val="00C47A89"/>
    <w:rsid w:val="00C55445"/>
    <w:rsid w:val="00C56946"/>
    <w:rsid w:val="00C63FA5"/>
    <w:rsid w:val="00C707E1"/>
    <w:rsid w:val="00C71F26"/>
    <w:rsid w:val="00C759B6"/>
    <w:rsid w:val="00C76DA4"/>
    <w:rsid w:val="00C80E05"/>
    <w:rsid w:val="00C8272E"/>
    <w:rsid w:val="00C8521F"/>
    <w:rsid w:val="00C864DE"/>
    <w:rsid w:val="00C947C0"/>
    <w:rsid w:val="00C9485A"/>
    <w:rsid w:val="00C971E4"/>
    <w:rsid w:val="00CA02D5"/>
    <w:rsid w:val="00CA0437"/>
    <w:rsid w:val="00CA6A72"/>
    <w:rsid w:val="00CB7B91"/>
    <w:rsid w:val="00CC2667"/>
    <w:rsid w:val="00CC6DE1"/>
    <w:rsid w:val="00CD1CA3"/>
    <w:rsid w:val="00CD4F72"/>
    <w:rsid w:val="00CD6A19"/>
    <w:rsid w:val="00CE3158"/>
    <w:rsid w:val="00CE3EAF"/>
    <w:rsid w:val="00CE73A9"/>
    <w:rsid w:val="00CF737E"/>
    <w:rsid w:val="00CF74A4"/>
    <w:rsid w:val="00D0294F"/>
    <w:rsid w:val="00D04762"/>
    <w:rsid w:val="00D0657C"/>
    <w:rsid w:val="00D106C3"/>
    <w:rsid w:val="00D152D2"/>
    <w:rsid w:val="00D17C23"/>
    <w:rsid w:val="00D331E2"/>
    <w:rsid w:val="00D449DE"/>
    <w:rsid w:val="00D71347"/>
    <w:rsid w:val="00D81C7B"/>
    <w:rsid w:val="00D8506F"/>
    <w:rsid w:val="00D861F0"/>
    <w:rsid w:val="00D86CE2"/>
    <w:rsid w:val="00D92F92"/>
    <w:rsid w:val="00D93F4B"/>
    <w:rsid w:val="00DA0CE6"/>
    <w:rsid w:val="00DA2CD3"/>
    <w:rsid w:val="00DA30AE"/>
    <w:rsid w:val="00DA4DFA"/>
    <w:rsid w:val="00DA7CB0"/>
    <w:rsid w:val="00DB101E"/>
    <w:rsid w:val="00DB2311"/>
    <w:rsid w:val="00DB5E54"/>
    <w:rsid w:val="00DC155E"/>
    <w:rsid w:val="00DC1F14"/>
    <w:rsid w:val="00DC6BCA"/>
    <w:rsid w:val="00DD0B80"/>
    <w:rsid w:val="00DD4896"/>
    <w:rsid w:val="00DD6720"/>
    <w:rsid w:val="00DD79D0"/>
    <w:rsid w:val="00DE002F"/>
    <w:rsid w:val="00DE489A"/>
    <w:rsid w:val="00DE5567"/>
    <w:rsid w:val="00E01344"/>
    <w:rsid w:val="00E02328"/>
    <w:rsid w:val="00E03236"/>
    <w:rsid w:val="00E06A35"/>
    <w:rsid w:val="00E17B15"/>
    <w:rsid w:val="00E207FC"/>
    <w:rsid w:val="00E21784"/>
    <w:rsid w:val="00E229EF"/>
    <w:rsid w:val="00E241B5"/>
    <w:rsid w:val="00E300AD"/>
    <w:rsid w:val="00E33A3C"/>
    <w:rsid w:val="00E36372"/>
    <w:rsid w:val="00E414D1"/>
    <w:rsid w:val="00E51A54"/>
    <w:rsid w:val="00E53DB3"/>
    <w:rsid w:val="00E569F6"/>
    <w:rsid w:val="00E629A2"/>
    <w:rsid w:val="00E655DA"/>
    <w:rsid w:val="00E6775E"/>
    <w:rsid w:val="00E8423C"/>
    <w:rsid w:val="00E90384"/>
    <w:rsid w:val="00E94158"/>
    <w:rsid w:val="00E96095"/>
    <w:rsid w:val="00EB23E3"/>
    <w:rsid w:val="00EC36A7"/>
    <w:rsid w:val="00EC4AE6"/>
    <w:rsid w:val="00EC4C48"/>
    <w:rsid w:val="00ED1467"/>
    <w:rsid w:val="00EE0531"/>
    <w:rsid w:val="00EE0569"/>
    <w:rsid w:val="00EE1F4A"/>
    <w:rsid w:val="00EE3DFF"/>
    <w:rsid w:val="00EE57E6"/>
    <w:rsid w:val="00EE6E8F"/>
    <w:rsid w:val="00EF2189"/>
    <w:rsid w:val="00EF477B"/>
    <w:rsid w:val="00EF599E"/>
    <w:rsid w:val="00EF7F07"/>
    <w:rsid w:val="00F026D5"/>
    <w:rsid w:val="00F02D57"/>
    <w:rsid w:val="00F07707"/>
    <w:rsid w:val="00F10B4F"/>
    <w:rsid w:val="00F10DA4"/>
    <w:rsid w:val="00F172D7"/>
    <w:rsid w:val="00F20558"/>
    <w:rsid w:val="00F2139F"/>
    <w:rsid w:val="00F21764"/>
    <w:rsid w:val="00F24DEA"/>
    <w:rsid w:val="00F25D1F"/>
    <w:rsid w:val="00F34BF3"/>
    <w:rsid w:val="00F36977"/>
    <w:rsid w:val="00F42C2F"/>
    <w:rsid w:val="00F54976"/>
    <w:rsid w:val="00F55EA0"/>
    <w:rsid w:val="00F649E3"/>
    <w:rsid w:val="00F65711"/>
    <w:rsid w:val="00F804E4"/>
    <w:rsid w:val="00F9285E"/>
    <w:rsid w:val="00F941DC"/>
    <w:rsid w:val="00FA1187"/>
    <w:rsid w:val="00FA2DEC"/>
    <w:rsid w:val="00FC5A7E"/>
    <w:rsid w:val="00FD008E"/>
    <w:rsid w:val="00FD1285"/>
    <w:rsid w:val="00FD6431"/>
    <w:rsid w:val="00FE178A"/>
    <w:rsid w:val="00FE2E1E"/>
    <w:rsid w:val="00FF2C5E"/>
    <w:rsid w:val="00FF39E9"/>
    <w:rsid w:val="00FF4A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6D541"/>
  <w15:docId w15:val="{DDC6B79C-0672-40BC-ADCB-375E2393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2380"/>
    <w:rPr>
      <w:color w:val="0563C1" w:themeColor="hyperlink"/>
      <w:u w:val="single"/>
    </w:rPr>
  </w:style>
  <w:style w:type="character" w:customStyle="1" w:styleId="UnresolvedMention1">
    <w:name w:val="Unresolved Mention1"/>
    <w:basedOn w:val="DefaultParagraphFont"/>
    <w:uiPriority w:val="99"/>
    <w:semiHidden/>
    <w:unhideWhenUsed/>
    <w:rsid w:val="00752380"/>
    <w:rPr>
      <w:color w:val="605E5C"/>
      <w:shd w:val="clear" w:color="auto" w:fill="E1DFDD"/>
    </w:rPr>
  </w:style>
  <w:style w:type="paragraph" w:styleId="ListParagraph">
    <w:name w:val="List Paragraph"/>
    <w:basedOn w:val="Normal"/>
    <w:uiPriority w:val="34"/>
    <w:qFormat/>
    <w:rsid w:val="001053C0"/>
    <w:pPr>
      <w:ind w:left="720"/>
      <w:contextualSpacing/>
    </w:pPr>
  </w:style>
  <w:style w:type="table" w:styleId="TableGrid">
    <w:name w:val="Table Grid"/>
    <w:basedOn w:val="TableNormal"/>
    <w:uiPriority w:val="39"/>
    <w:rsid w:val="00B9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05BCE"/>
    <w:rPr>
      <w:sz w:val="16"/>
      <w:szCs w:val="16"/>
    </w:rPr>
  </w:style>
  <w:style w:type="paragraph" w:styleId="CommentText">
    <w:name w:val="annotation text"/>
    <w:basedOn w:val="Normal"/>
    <w:rsid w:val="00805BCE"/>
    <w:rPr>
      <w:sz w:val="20"/>
      <w:szCs w:val="20"/>
    </w:rPr>
  </w:style>
  <w:style w:type="paragraph" w:customStyle="1" w:styleId="TableContents">
    <w:name w:val="Table Contents"/>
    <w:basedOn w:val="Normal"/>
    <w:qFormat/>
    <w:pPr>
      <w:suppressLineNumbers/>
      <w:suppressAutoHyphens/>
    </w:pPr>
    <w:rPr>
      <w:rFonts w:cs="Times New Roman"/>
    </w:rPr>
  </w:style>
  <w:style w:type="paragraph" w:styleId="Revision">
    <w:name w:val="Revision"/>
    <w:hidden/>
    <w:uiPriority w:val="99"/>
    <w:semiHidden/>
    <w:rsid w:val="005B15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99679">
      <w:bodyDiv w:val="1"/>
      <w:marLeft w:val="0"/>
      <w:marRight w:val="0"/>
      <w:marTop w:val="0"/>
      <w:marBottom w:val="0"/>
      <w:divBdr>
        <w:top w:val="none" w:sz="0" w:space="0" w:color="auto"/>
        <w:left w:val="none" w:sz="0" w:space="0" w:color="auto"/>
        <w:bottom w:val="none" w:sz="0" w:space="0" w:color="auto"/>
        <w:right w:val="none" w:sz="0" w:space="0" w:color="auto"/>
      </w:divBdr>
      <w:divsChild>
        <w:div w:id="807012159">
          <w:marLeft w:val="0"/>
          <w:marRight w:val="0"/>
          <w:marTop w:val="0"/>
          <w:marBottom w:val="0"/>
          <w:divBdr>
            <w:top w:val="none" w:sz="0" w:space="0" w:color="auto"/>
            <w:left w:val="none" w:sz="0" w:space="0" w:color="auto"/>
            <w:bottom w:val="none" w:sz="0" w:space="0" w:color="auto"/>
            <w:right w:val="none" w:sz="0" w:space="0" w:color="auto"/>
          </w:divBdr>
        </w:div>
      </w:divsChild>
    </w:div>
    <w:div w:id="121967617">
      <w:bodyDiv w:val="1"/>
      <w:marLeft w:val="0"/>
      <w:marRight w:val="0"/>
      <w:marTop w:val="0"/>
      <w:marBottom w:val="0"/>
      <w:divBdr>
        <w:top w:val="none" w:sz="0" w:space="0" w:color="auto"/>
        <w:left w:val="none" w:sz="0" w:space="0" w:color="auto"/>
        <w:bottom w:val="none" w:sz="0" w:space="0" w:color="auto"/>
        <w:right w:val="none" w:sz="0" w:space="0" w:color="auto"/>
      </w:divBdr>
    </w:div>
    <w:div w:id="259873250">
      <w:bodyDiv w:val="1"/>
      <w:marLeft w:val="0"/>
      <w:marRight w:val="0"/>
      <w:marTop w:val="0"/>
      <w:marBottom w:val="0"/>
      <w:divBdr>
        <w:top w:val="none" w:sz="0" w:space="0" w:color="auto"/>
        <w:left w:val="none" w:sz="0" w:space="0" w:color="auto"/>
        <w:bottom w:val="none" w:sz="0" w:space="0" w:color="auto"/>
        <w:right w:val="none" w:sz="0" w:space="0" w:color="auto"/>
      </w:divBdr>
      <w:divsChild>
        <w:div w:id="2057922894">
          <w:marLeft w:val="0"/>
          <w:marRight w:val="0"/>
          <w:marTop w:val="0"/>
          <w:marBottom w:val="0"/>
          <w:divBdr>
            <w:top w:val="none" w:sz="0" w:space="0" w:color="auto"/>
            <w:left w:val="none" w:sz="0" w:space="0" w:color="auto"/>
            <w:bottom w:val="none" w:sz="0" w:space="0" w:color="auto"/>
            <w:right w:val="none" w:sz="0" w:space="0" w:color="auto"/>
          </w:divBdr>
        </w:div>
      </w:divsChild>
    </w:div>
    <w:div w:id="481704643">
      <w:bodyDiv w:val="1"/>
      <w:marLeft w:val="0"/>
      <w:marRight w:val="0"/>
      <w:marTop w:val="0"/>
      <w:marBottom w:val="0"/>
      <w:divBdr>
        <w:top w:val="none" w:sz="0" w:space="0" w:color="auto"/>
        <w:left w:val="none" w:sz="0" w:space="0" w:color="auto"/>
        <w:bottom w:val="none" w:sz="0" w:space="0" w:color="auto"/>
        <w:right w:val="none" w:sz="0" w:space="0" w:color="auto"/>
      </w:divBdr>
    </w:div>
    <w:div w:id="589318011">
      <w:bodyDiv w:val="1"/>
      <w:marLeft w:val="0"/>
      <w:marRight w:val="0"/>
      <w:marTop w:val="0"/>
      <w:marBottom w:val="0"/>
      <w:divBdr>
        <w:top w:val="none" w:sz="0" w:space="0" w:color="auto"/>
        <w:left w:val="none" w:sz="0" w:space="0" w:color="auto"/>
        <w:bottom w:val="none" w:sz="0" w:space="0" w:color="auto"/>
        <w:right w:val="none" w:sz="0" w:space="0" w:color="auto"/>
      </w:divBdr>
      <w:divsChild>
        <w:div w:id="1864325791">
          <w:marLeft w:val="0"/>
          <w:marRight w:val="0"/>
          <w:marTop w:val="0"/>
          <w:marBottom w:val="0"/>
          <w:divBdr>
            <w:top w:val="none" w:sz="0" w:space="0" w:color="auto"/>
            <w:left w:val="none" w:sz="0" w:space="0" w:color="auto"/>
            <w:bottom w:val="none" w:sz="0" w:space="0" w:color="auto"/>
            <w:right w:val="none" w:sz="0" w:space="0" w:color="auto"/>
          </w:divBdr>
        </w:div>
      </w:divsChild>
    </w:div>
    <w:div w:id="807479225">
      <w:bodyDiv w:val="1"/>
      <w:marLeft w:val="0"/>
      <w:marRight w:val="0"/>
      <w:marTop w:val="0"/>
      <w:marBottom w:val="0"/>
      <w:divBdr>
        <w:top w:val="none" w:sz="0" w:space="0" w:color="auto"/>
        <w:left w:val="none" w:sz="0" w:space="0" w:color="auto"/>
        <w:bottom w:val="none" w:sz="0" w:space="0" w:color="auto"/>
        <w:right w:val="none" w:sz="0" w:space="0" w:color="auto"/>
      </w:divBdr>
      <w:divsChild>
        <w:div w:id="1723794447">
          <w:marLeft w:val="0"/>
          <w:marRight w:val="0"/>
          <w:marTop w:val="0"/>
          <w:marBottom w:val="0"/>
          <w:divBdr>
            <w:top w:val="none" w:sz="0" w:space="0" w:color="auto"/>
            <w:left w:val="none" w:sz="0" w:space="0" w:color="auto"/>
            <w:bottom w:val="none" w:sz="0" w:space="0" w:color="auto"/>
            <w:right w:val="none" w:sz="0" w:space="0" w:color="auto"/>
          </w:divBdr>
        </w:div>
      </w:divsChild>
    </w:div>
    <w:div w:id="1077752411">
      <w:bodyDiv w:val="1"/>
      <w:marLeft w:val="0"/>
      <w:marRight w:val="0"/>
      <w:marTop w:val="0"/>
      <w:marBottom w:val="0"/>
      <w:divBdr>
        <w:top w:val="none" w:sz="0" w:space="0" w:color="auto"/>
        <w:left w:val="none" w:sz="0" w:space="0" w:color="auto"/>
        <w:bottom w:val="none" w:sz="0" w:space="0" w:color="auto"/>
        <w:right w:val="none" w:sz="0" w:space="0" w:color="auto"/>
      </w:divBdr>
    </w:div>
    <w:div w:id="1586037072">
      <w:bodyDiv w:val="1"/>
      <w:marLeft w:val="0"/>
      <w:marRight w:val="0"/>
      <w:marTop w:val="0"/>
      <w:marBottom w:val="0"/>
      <w:divBdr>
        <w:top w:val="none" w:sz="0" w:space="0" w:color="auto"/>
        <w:left w:val="none" w:sz="0" w:space="0" w:color="auto"/>
        <w:bottom w:val="none" w:sz="0" w:space="0" w:color="auto"/>
        <w:right w:val="none" w:sz="0" w:space="0" w:color="auto"/>
      </w:divBdr>
      <w:divsChild>
        <w:div w:id="1248492185">
          <w:marLeft w:val="0"/>
          <w:marRight w:val="0"/>
          <w:marTop w:val="0"/>
          <w:marBottom w:val="0"/>
          <w:divBdr>
            <w:top w:val="none" w:sz="0" w:space="0" w:color="auto"/>
            <w:left w:val="none" w:sz="0" w:space="0" w:color="auto"/>
            <w:bottom w:val="none" w:sz="0" w:space="0" w:color="auto"/>
            <w:right w:val="none" w:sz="0" w:space="0" w:color="auto"/>
          </w:divBdr>
        </w:div>
      </w:divsChild>
    </w:div>
    <w:div w:id="1845896615">
      <w:bodyDiv w:val="1"/>
      <w:marLeft w:val="0"/>
      <w:marRight w:val="0"/>
      <w:marTop w:val="0"/>
      <w:marBottom w:val="0"/>
      <w:divBdr>
        <w:top w:val="none" w:sz="0" w:space="0" w:color="auto"/>
        <w:left w:val="none" w:sz="0" w:space="0" w:color="auto"/>
        <w:bottom w:val="none" w:sz="0" w:space="0" w:color="auto"/>
        <w:right w:val="none" w:sz="0" w:space="0" w:color="auto"/>
      </w:divBdr>
    </w:div>
    <w:div w:id="2070296863">
      <w:bodyDiv w:val="1"/>
      <w:marLeft w:val="0"/>
      <w:marRight w:val="0"/>
      <w:marTop w:val="0"/>
      <w:marBottom w:val="0"/>
      <w:divBdr>
        <w:top w:val="none" w:sz="0" w:space="0" w:color="auto"/>
        <w:left w:val="none" w:sz="0" w:space="0" w:color="auto"/>
        <w:bottom w:val="none" w:sz="0" w:space="0" w:color="auto"/>
        <w:right w:val="none" w:sz="0" w:space="0" w:color="auto"/>
      </w:divBdr>
      <w:divsChild>
        <w:div w:id="1977562290">
          <w:marLeft w:val="0"/>
          <w:marRight w:val="0"/>
          <w:marTop w:val="0"/>
          <w:marBottom w:val="0"/>
          <w:divBdr>
            <w:top w:val="none" w:sz="0" w:space="0" w:color="auto"/>
            <w:left w:val="none" w:sz="0" w:space="0" w:color="auto"/>
            <w:bottom w:val="none" w:sz="0" w:space="0" w:color="auto"/>
            <w:right w:val="none" w:sz="0" w:space="0" w:color="auto"/>
          </w:divBdr>
        </w:div>
        <w:div w:id="989285522">
          <w:marLeft w:val="0"/>
          <w:marRight w:val="0"/>
          <w:marTop w:val="0"/>
          <w:marBottom w:val="0"/>
          <w:divBdr>
            <w:top w:val="none" w:sz="0" w:space="0" w:color="auto"/>
            <w:left w:val="none" w:sz="0" w:space="0" w:color="auto"/>
            <w:bottom w:val="none" w:sz="0" w:space="0" w:color="auto"/>
            <w:right w:val="none" w:sz="0" w:space="0" w:color="auto"/>
          </w:divBdr>
        </w:div>
        <w:div w:id="453670924">
          <w:marLeft w:val="0"/>
          <w:marRight w:val="0"/>
          <w:marTop w:val="0"/>
          <w:marBottom w:val="0"/>
          <w:divBdr>
            <w:top w:val="none" w:sz="0" w:space="0" w:color="auto"/>
            <w:left w:val="none" w:sz="0" w:space="0" w:color="auto"/>
            <w:bottom w:val="none" w:sz="0" w:space="0" w:color="auto"/>
            <w:right w:val="none" w:sz="0" w:space="0" w:color="auto"/>
          </w:divBdr>
        </w:div>
        <w:div w:id="369915904">
          <w:marLeft w:val="0"/>
          <w:marRight w:val="0"/>
          <w:marTop w:val="0"/>
          <w:marBottom w:val="0"/>
          <w:divBdr>
            <w:top w:val="none" w:sz="0" w:space="0" w:color="auto"/>
            <w:left w:val="none" w:sz="0" w:space="0" w:color="auto"/>
            <w:bottom w:val="none" w:sz="0" w:space="0" w:color="auto"/>
            <w:right w:val="none" w:sz="0" w:space="0" w:color="auto"/>
          </w:divBdr>
        </w:div>
        <w:div w:id="942617263">
          <w:marLeft w:val="0"/>
          <w:marRight w:val="0"/>
          <w:marTop w:val="0"/>
          <w:marBottom w:val="0"/>
          <w:divBdr>
            <w:top w:val="none" w:sz="0" w:space="0" w:color="auto"/>
            <w:left w:val="none" w:sz="0" w:space="0" w:color="auto"/>
            <w:bottom w:val="none" w:sz="0" w:space="0" w:color="auto"/>
            <w:right w:val="none" w:sz="0" w:space="0" w:color="auto"/>
          </w:divBdr>
        </w:div>
      </w:divsChild>
    </w:div>
    <w:div w:id="2134521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anto.s@swadharama.ac.id" TargetMode="External"/><Relationship Id="rId3" Type="http://schemas.openxmlformats.org/officeDocument/2006/relationships/styles" Target="styles.xml"/><Relationship Id="rId7" Type="http://schemas.openxmlformats.org/officeDocument/2006/relationships/hyperlink" Target="mailto:jimmy@unklab.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hyunu1959@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hyunu195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491B8-CD2D-4149-92A4-8BDFACB8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TotalTime>
  <Pages>8</Pages>
  <Words>8505</Words>
  <Characters>48483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Robbi Rahim</dc:creator>
  <cp:lastModifiedBy>HP .</cp:lastModifiedBy>
  <cp:revision>481</cp:revision>
  <dcterms:created xsi:type="dcterms:W3CDTF">2023-01-15T06:03:00Z</dcterms:created>
  <dcterms:modified xsi:type="dcterms:W3CDTF">2023-05-08T09:04:00Z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http://www.zotero.org/styles/ieee</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http://www.zotero.org/styles/chicago-fullnote-bibliography</vt:lpwstr>
  </property>
  <property fmtid="{D5CDD505-2E9C-101B-9397-08002B2CF9AE}" pid="8" name="Mendeley Recent Style Id 4_1">
    <vt:lpwstr>http://www.zotero.org/styles/harvard-cite-them-right</vt:lpwstr>
  </property>
  <property fmtid="{D5CDD505-2E9C-101B-9397-08002B2CF9AE}" pid="9" name="Mendeley Recent Style Id 5_1">
    <vt:lpwstr>http://www.zotero.org/styles/ieee</vt:lpwstr>
  </property>
  <property fmtid="{D5CDD505-2E9C-101B-9397-08002B2CF9AE}" pid="10" name="Mendeley Recent Style Id 6_1">
    <vt:lpwstr>http://www.zotero.org/styles/international-journal-of-simulation-modelling</vt:lpwstr>
  </property>
  <property fmtid="{D5CDD505-2E9C-101B-9397-08002B2CF9AE}" pid="11" name="Mendeley Recent Style Id 7_1">
    <vt:lpwstr>http://www.zotero.org/styles/modern-humanities-research-association-author-date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http://www.zotero.org/styles/vancouver</vt:lpwstr>
  </property>
  <property fmtid="{D5CDD505-2E9C-101B-9397-08002B2CF9AE}" pid="14" name="Mendeley Recent Style Name 0_1">
    <vt:lpwstr>American Political Science Association</vt:lpwstr>
  </property>
  <property fmtid="{D5CDD505-2E9C-101B-9397-08002B2CF9AE}" pid="15" name="Mendeley Recent Style Name 1_1">
    <vt:lpwstr>American Psychological Association 7th edition</vt:lpwstr>
  </property>
  <property fmtid="{D5CDD505-2E9C-101B-9397-08002B2CF9AE}" pid="16" name="Mendeley Recent Style Name 2_1">
    <vt:lpwstr>American Sociological Association 6th edition</vt:lpwstr>
  </property>
  <property fmtid="{D5CDD505-2E9C-101B-9397-08002B2CF9AE}" pid="17" name="Mendeley Recent Style Name 3_1">
    <vt:lpwstr>Chicago Manual of Style 17th edition (full note)</vt:lpwstr>
  </property>
  <property fmtid="{D5CDD505-2E9C-101B-9397-08002B2CF9AE}" pid="18" name="Mendeley Recent Style Name 4_1">
    <vt:lpwstr>Cite Them Right 12th edition - Harvard</vt:lpwstr>
  </property>
  <property fmtid="{D5CDD505-2E9C-101B-9397-08002B2CF9AE}" pid="19" name="Mendeley Recent Style Name 5_1">
    <vt:lpwstr>IEEE</vt:lpwstr>
  </property>
  <property fmtid="{D5CDD505-2E9C-101B-9397-08002B2CF9AE}" pid="20" name="Mendeley Recent Style Name 6_1">
    <vt:lpwstr>International Journal of Simulation Modelling</vt:lpwstr>
  </property>
  <property fmtid="{D5CDD505-2E9C-101B-9397-08002B2CF9AE}" pid="21" name="Mendeley Recent Style Name 7_1">
    <vt:lpwstr>Modern Humanities Research Association 3rd edition (author-date)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Vancouver</vt:lpwstr>
  </property>
  <property fmtid="{D5CDD505-2E9C-101B-9397-08002B2CF9AE}" pid="24" name="Mendeley Unique User Id_1">
    <vt:lpwstr>361a5e47-02bb-3d18-86f0-f4288b3adbf4</vt:lpwstr>
  </property>
</Properties>
</file>