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736BB4" w14:textId="3A03AAD1" w:rsidR="008E64A2" w:rsidRPr="00A75CB1" w:rsidRDefault="00A021B8" w:rsidP="00727D5A">
      <w:pPr>
        <w:pStyle w:val="Alishlah12title"/>
      </w:pPr>
      <w:r w:rsidRPr="00A021B8">
        <w:t xml:space="preserve">Unveiling </w:t>
      </w:r>
      <w:r>
        <w:t>p</w:t>
      </w:r>
      <w:r w:rsidRPr="00A021B8">
        <w:t xml:space="preserve">erspectives: </w:t>
      </w:r>
      <w:r>
        <w:t>P</w:t>
      </w:r>
      <w:r w:rsidRPr="00A021B8">
        <w:t>re-</w:t>
      </w:r>
      <w:r>
        <w:t>s</w:t>
      </w:r>
      <w:r w:rsidRPr="00A021B8">
        <w:t xml:space="preserve">ervice </w:t>
      </w:r>
      <w:r>
        <w:t>p</w:t>
      </w:r>
      <w:r w:rsidRPr="00A021B8">
        <w:t xml:space="preserve">hysics </w:t>
      </w:r>
      <w:r>
        <w:t>t</w:t>
      </w:r>
      <w:r w:rsidRPr="00A021B8">
        <w:t>eachers and their</w:t>
      </w:r>
      <w:r>
        <w:t xml:space="preserve"> v</w:t>
      </w:r>
      <w:r w:rsidRPr="00A021B8">
        <w:t xml:space="preserve">iews on STEM-EDP </w:t>
      </w:r>
      <w:r>
        <w:t>p</w:t>
      </w:r>
      <w:r w:rsidRPr="00A021B8">
        <w:t xml:space="preserve">roject in </w:t>
      </w:r>
      <w:r>
        <w:t>t</w:t>
      </w:r>
      <w:r w:rsidRPr="00A021B8">
        <w:t xml:space="preserve">ackling </w:t>
      </w:r>
      <w:r>
        <w:t>w</w:t>
      </w:r>
      <w:r w:rsidRPr="00A021B8">
        <w:t xml:space="preserve">ater </w:t>
      </w:r>
      <w:r>
        <w:t>t</w:t>
      </w:r>
      <w:r w:rsidRPr="00A021B8">
        <w:t>urbidity</w:t>
      </w:r>
    </w:p>
    <w:p w14:paraId="75F7CCD4" w14:textId="59863CC9" w:rsidR="00BE398A" w:rsidRPr="007E6AA6" w:rsidRDefault="00A021B8" w:rsidP="002C57D4">
      <w:pPr>
        <w:pStyle w:val="Alishlah13authornames"/>
        <w:rPr>
          <w:vertAlign w:val="superscript"/>
          <w:lang w:val="en-GB"/>
        </w:rPr>
      </w:pPr>
      <w:r w:rsidRPr="00A021B8">
        <w:rPr>
          <w:lang w:val="en-ID"/>
        </w:rPr>
        <w:t>Atin Nuryadin</w:t>
      </w:r>
      <w:r w:rsidRPr="00A021B8">
        <w:rPr>
          <w:vertAlign w:val="superscript"/>
          <w:lang w:val="en-ID"/>
        </w:rPr>
        <w:t>1</w:t>
      </w:r>
      <w:r w:rsidRPr="00A021B8">
        <w:rPr>
          <w:lang w:val="en-ID"/>
        </w:rPr>
        <w:t>, Lambang Subagiyo</w:t>
      </w:r>
      <w:r>
        <w:rPr>
          <w:vertAlign w:val="superscript"/>
          <w:lang w:val="en-ID"/>
        </w:rPr>
        <w:t>2</w:t>
      </w:r>
      <w:r w:rsidRPr="00A021B8">
        <w:rPr>
          <w:lang w:val="en-ID"/>
        </w:rPr>
        <w:t>,</w:t>
      </w:r>
      <w:r w:rsidRPr="00A021B8">
        <w:rPr>
          <w:vertAlign w:val="superscript"/>
          <w:lang w:val="en-ID"/>
        </w:rPr>
        <w:t xml:space="preserve"> </w:t>
      </w:r>
      <w:r w:rsidRPr="00A021B8">
        <w:rPr>
          <w:lang w:val="en-ID"/>
        </w:rPr>
        <w:t>Nurul F. Sulaeman</w:t>
      </w:r>
      <w:r>
        <w:rPr>
          <w:vertAlign w:val="superscript"/>
          <w:lang w:val="en-ID"/>
        </w:rPr>
        <w:t>3</w:t>
      </w:r>
      <w:r w:rsidRPr="00A021B8">
        <w:rPr>
          <w:lang w:val="en-ID"/>
        </w:rPr>
        <w:t>, Muliati Syam</w:t>
      </w:r>
      <w:r>
        <w:rPr>
          <w:vertAlign w:val="superscript"/>
          <w:lang w:val="en-ID"/>
        </w:rPr>
        <w:t>4</w:t>
      </w:r>
    </w:p>
    <w:p w14:paraId="3E79C532" w14:textId="31D54854"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r w:rsidR="00A021B8" w:rsidRPr="00A021B8">
        <w:rPr>
          <w:color w:val="auto"/>
          <w:lang w:val="en-ID"/>
        </w:rPr>
        <w:t>Physics Education Study Program, Mulawarman University, Samarinda, Indonesia</w:t>
      </w:r>
      <w:r w:rsidR="00A021B8">
        <w:rPr>
          <w:color w:val="auto"/>
          <w:lang w:val="en-ID"/>
        </w:rPr>
        <w:t xml:space="preserve"> 75123</w:t>
      </w:r>
      <w:r w:rsidR="002B31FD" w:rsidRPr="002B31FD">
        <w:rPr>
          <w:color w:val="auto"/>
          <w:lang w:val="en-GB"/>
        </w:rPr>
        <w:t xml:space="preserve">; </w:t>
      </w:r>
      <w:r w:rsidR="00A021B8">
        <w:rPr>
          <w:color w:val="auto"/>
          <w:lang w:val="en-GB"/>
        </w:rPr>
        <w:t>atin.nuryadin</w:t>
      </w:r>
      <w:r w:rsidR="002B31FD" w:rsidRPr="002B31FD">
        <w:rPr>
          <w:color w:val="auto"/>
          <w:lang w:val="en-GB"/>
        </w:rPr>
        <w:t>@</w:t>
      </w:r>
      <w:r w:rsidR="00A021B8">
        <w:rPr>
          <w:color w:val="auto"/>
          <w:lang w:val="en-GB"/>
        </w:rPr>
        <w:t>fkip</w:t>
      </w:r>
      <w:r w:rsidR="002B31FD" w:rsidRPr="002B31FD">
        <w:rPr>
          <w:color w:val="auto"/>
          <w:lang w:val="en-GB"/>
        </w:rPr>
        <w:t>.</w:t>
      </w:r>
      <w:r w:rsidR="00A021B8">
        <w:rPr>
          <w:color w:val="auto"/>
          <w:lang w:val="en-GB"/>
        </w:rPr>
        <w:t>unmul.ac.id</w:t>
      </w:r>
    </w:p>
    <w:p w14:paraId="608EE375" w14:textId="2EAC1BBE"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r w:rsidR="00A021B8" w:rsidRPr="00A021B8">
        <w:rPr>
          <w:color w:val="auto"/>
          <w:lang w:val="en-ID"/>
        </w:rPr>
        <w:t>Physics Education Study Program, Mulawarman University, Samarinda, Indonesia</w:t>
      </w:r>
      <w:r w:rsidR="00A021B8">
        <w:rPr>
          <w:color w:val="auto"/>
          <w:lang w:val="en-ID"/>
        </w:rPr>
        <w:t xml:space="preserve"> 75123</w:t>
      </w:r>
      <w:r w:rsidR="00A021B8" w:rsidRPr="002B31FD">
        <w:rPr>
          <w:color w:val="auto"/>
          <w:lang w:val="en-GB"/>
        </w:rPr>
        <w:t xml:space="preserve">; </w:t>
      </w:r>
      <w:r w:rsidR="00A021B8">
        <w:rPr>
          <w:color w:val="auto"/>
          <w:lang w:val="en-GB"/>
        </w:rPr>
        <w:t>subagiyo</w:t>
      </w:r>
      <w:r w:rsidR="00A021B8" w:rsidRPr="002B31FD">
        <w:rPr>
          <w:color w:val="auto"/>
          <w:lang w:val="en-GB"/>
        </w:rPr>
        <w:t>@</w:t>
      </w:r>
      <w:r w:rsidR="00A021B8">
        <w:rPr>
          <w:color w:val="auto"/>
          <w:lang w:val="en-GB"/>
        </w:rPr>
        <w:t>fkip</w:t>
      </w:r>
      <w:r w:rsidR="00A021B8" w:rsidRPr="002B31FD">
        <w:rPr>
          <w:color w:val="auto"/>
          <w:lang w:val="en-GB"/>
        </w:rPr>
        <w:t>.</w:t>
      </w:r>
      <w:r w:rsidR="00A021B8">
        <w:rPr>
          <w:color w:val="auto"/>
          <w:lang w:val="en-GB"/>
        </w:rPr>
        <w:t>unmul.ac.id</w:t>
      </w:r>
    </w:p>
    <w:p w14:paraId="70BB6303" w14:textId="70BF29C8" w:rsidR="00A021B8" w:rsidRDefault="00A021B8" w:rsidP="00784B9B">
      <w:pPr>
        <w:pStyle w:val="Alishlah16affiliation"/>
        <w:rPr>
          <w:color w:val="auto"/>
          <w:lang w:val="en-GB"/>
        </w:rPr>
      </w:pPr>
      <w:r>
        <w:rPr>
          <w:color w:val="auto"/>
          <w:vertAlign w:val="superscript"/>
          <w:lang w:val="en-GB"/>
        </w:rPr>
        <w:t>3</w:t>
      </w:r>
      <w:r>
        <w:rPr>
          <w:color w:val="auto"/>
          <w:vertAlign w:val="superscript"/>
          <w:lang w:val="en-GB"/>
        </w:rPr>
        <w:tab/>
      </w:r>
      <w:r w:rsidRPr="00A021B8">
        <w:rPr>
          <w:color w:val="auto"/>
          <w:lang w:val="en-ID"/>
        </w:rPr>
        <w:t>Physics Education Study Program, Mulawarman University, Samarinda, Indonesia</w:t>
      </w:r>
      <w:r>
        <w:rPr>
          <w:color w:val="auto"/>
          <w:lang w:val="en-ID"/>
        </w:rPr>
        <w:t xml:space="preserve"> 75123</w:t>
      </w:r>
      <w:r w:rsidRPr="002B31FD">
        <w:rPr>
          <w:color w:val="auto"/>
          <w:lang w:val="en-GB"/>
        </w:rPr>
        <w:t xml:space="preserve">; </w:t>
      </w:r>
      <w:r>
        <w:rPr>
          <w:color w:val="auto"/>
          <w:lang w:val="en-GB"/>
        </w:rPr>
        <w:t>nurul.sulaeman</w:t>
      </w:r>
      <w:r w:rsidRPr="002B31FD">
        <w:rPr>
          <w:color w:val="auto"/>
          <w:lang w:val="en-GB"/>
        </w:rPr>
        <w:t>@</w:t>
      </w:r>
      <w:r>
        <w:rPr>
          <w:color w:val="auto"/>
          <w:lang w:val="en-GB"/>
        </w:rPr>
        <w:t>fkip</w:t>
      </w:r>
      <w:r w:rsidRPr="002B31FD">
        <w:rPr>
          <w:color w:val="auto"/>
          <w:lang w:val="en-GB"/>
        </w:rPr>
        <w:t>.</w:t>
      </w:r>
      <w:r>
        <w:rPr>
          <w:color w:val="auto"/>
          <w:lang w:val="en-GB"/>
        </w:rPr>
        <w:t>unmul.ac.id</w:t>
      </w:r>
    </w:p>
    <w:p w14:paraId="18049D89" w14:textId="66A4F1A4" w:rsidR="00A021B8" w:rsidRDefault="00A021B8" w:rsidP="00784B9B">
      <w:pPr>
        <w:pStyle w:val="Alishlah16affiliation"/>
        <w:rPr>
          <w:color w:val="auto"/>
          <w:lang w:val="en-GB"/>
        </w:rPr>
      </w:pPr>
      <w:r>
        <w:rPr>
          <w:color w:val="auto"/>
          <w:vertAlign w:val="superscript"/>
          <w:lang w:val="en-GB"/>
        </w:rPr>
        <w:t>4</w:t>
      </w:r>
      <w:r>
        <w:rPr>
          <w:color w:val="auto"/>
          <w:vertAlign w:val="superscript"/>
          <w:lang w:val="en-GB"/>
        </w:rPr>
        <w:tab/>
      </w:r>
      <w:r w:rsidRPr="00A021B8">
        <w:rPr>
          <w:color w:val="auto"/>
          <w:lang w:val="en-ID"/>
        </w:rPr>
        <w:t>Physics Education Study Program, Mulawarman University, Samarinda, Indonesia</w:t>
      </w:r>
      <w:r>
        <w:rPr>
          <w:color w:val="auto"/>
          <w:lang w:val="en-ID"/>
        </w:rPr>
        <w:t xml:space="preserve"> 75123</w:t>
      </w:r>
      <w:r w:rsidRPr="002B31FD">
        <w:rPr>
          <w:color w:val="auto"/>
          <w:lang w:val="en-GB"/>
        </w:rPr>
        <w:t xml:space="preserve">; </w:t>
      </w:r>
      <w:r>
        <w:rPr>
          <w:color w:val="auto"/>
          <w:lang w:val="en-GB"/>
        </w:rPr>
        <w:t>muliati.syam</w:t>
      </w:r>
      <w:r w:rsidRPr="002B31FD">
        <w:rPr>
          <w:color w:val="auto"/>
          <w:lang w:val="en-GB"/>
        </w:rPr>
        <w:t>@</w:t>
      </w:r>
      <w:r>
        <w:rPr>
          <w:color w:val="auto"/>
          <w:lang w:val="en-GB"/>
        </w:rPr>
        <w:t>fkip</w:t>
      </w:r>
      <w:r w:rsidRPr="002B31FD">
        <w:rPr>
          <w:color w:val="auto"/>
          <w:lang w:val="en-GB"/>
        </w:rPr>
        <w:t>.</w:t>
      </w:r>
      <w:r>
        <w:rPr>
          <w:color w:val="auto"/>
          <w:lang w:val="en-GB"/>
        </w:rPr>
        <w:t>unmul.ac.id</w:t>
      </w:r>
    </w:p>
    <w:p w14:paraId="64B8E69A"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66E50FDB" w14:textId="77777777" w:rsidTr="0048254D">
        <w:trPr>
          <w:jc w:val="center"/>
        </w:trPr>
        <w:tc>
          <w:tcPr>
            <w:tcW w:w="2787" w:type="dxa"/>
            <w:tcBorders>
              <w:top w:val="double" w:sz="4" w:space="0" w:color="auto"/>
              <w:left w:val="nil"/>
              <w:bottom w:val="single" w:sz="4" w:space="0" w:color="auto"/>
              <w:right w:val="nil"/>
            </w:tcBorders>
          </w:tcPr>
          <w:p w14:paraId="24739FC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02C4619E"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42E1AE35"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3503E6C4" w14:textId="77777777" w:rsidTr="0048254D">
        <w:trPr>
          <w:trHeight w:val="1268"/>
          <w:jc w:val="center"/>
        </w:trPr>
        <w:tc>
          <w:tcPr>
            <w:tcW w:w="2787" w:type="dxa"/>
            <w:tcBorders>
              <w:top w:val="single" w:sz="4" w:space="0" w:color="auto"/>
              <w:left w:val="nil"/>
              <w:bottom w:val="single" w:sz="4" w:space="0" w:color="auto"/>
              <w:right w:val="nil"/>
            </w:tcBorders>
          </w:tcPr>
          <w:p w14:paraId="7C9E24EA"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59FB1579" w14:textId="2F3C34EB" w:rsidR="002B31FD" w:rsidRDefault="00A021B8" w:rsidP="00290481">
            <w:pPr>
              <w:pStyle w:val="Alishlah18keywords"/>
            </w:pPr>
            <w:r>
              <w:t>pre-service physics teachers</w:t>
            </w:r>
            <w:r w:rsidR="002B31FD" w:rsidRPr="002B31FD">
              <w:t xml:space="preserve">; </w:t>
            </w:r>
          </w:p>
          <w:p w14:paraId="1073B587" w14:textId="2093B92C" w:rsidR="002B31FD" w:rsidRDefault="00A021B8" w:rsidP="00290481">
            <w:pPr>
              <w:pStyle w:val="Alishlah18keywords"/>
            </w:pPr>
            <w:r>
              <w:t>STEM-EDP</w:t>
            </w:r>
            <w:r w:rsidR="002B31FD" w:rsidRPr="002B31FD">
              <w:t xml:space="preserve">; </w:t>
            </w:r>
          </w:p>
          <w:p w14:paraId="07720E80" w14:textId="5B3F8770" w:rsidR="0048254D" w:rsidRPr="0048254D" w:rsidRDefault="00A021B8" w:rsidP="00A021B8">
            <w:pPr>
              <w:pStyle w:val="Alishlah18keywords"/>
            </w:pPr>
            <w:r>
              <w:t>water turbidity</w:t>
            </w:r>
            <w:r w:rsidR="002B31FD" w:rsidRPr="002B31FD">
              <w:t xml:space="preserve"> </w:t>
            </w:r>
          </w:p>
          <w:p w14:paraId="3DA30504"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32042CFE"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653ECB23" w14:textId="7927C150" w:rsidR="0048254D" w:rsidRPr="00E45249" w:rsidRDefault="00A021B8" w:rsidP="00E45249">
            <w:pPr>
              <w:pStyle w:val="Alishlah17abstract"/>
            </w:pPr>
            <w:r w:rsidRPr="00A021B8">
              <w:rPr>
                <w:i/>
                <w:lang w:val="en-ID"/>
              </w:rPr>
              <w:t>Water turbidity, caused by human activities like mining and agriculture, refers to the cloudiness of water due to particles mixing with it. This increased turbidity can lead to reduced ecosystem productivity, habitat degradation, changes in water color, lower oxygen levels, and health risks. To address this issue, students need to be educated on water conservation and how to mitigate turbidity. This study explores the perceptions of pre-service physics teachers regarding how STEM integrated with the Engineering Design Process (STEM-EDP) can help solve water turbidity problems. A STEM-EDP activity was designed through a worksheet for four meetings, with 39 students divided into 13 groups. They were tasked with designing and building a water turbidity measurement and filtration device using common materials, following the same process used by engineers and scientists. At the end of the project, an open-ended question was used to gauge the students’ perspectives on how STEM-EDP facilitated the completion of the project. The results showed that pre-service teachers believed STEM-EDP helped them address water turbidity effectively. Their responses highlighted how the process encouraged critical and creative thinking, teamwork, communication, problem-solving, and the application of STEM principles in real-world contexts. This hands-on STEM activity not only helped students solve water turbidity issues but also inspired them to design engaging and meaningful learning activities for their future students.</w:t>
            </w:r>
          </w:p>
        </w:tc>
      </w:tr>
      <w:tr w:rsidR="0048254D" w:rsidRPr="0048254D" w14:paraId="6D33CD71"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1B8BA00"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56C4992B" w14:textId="77777777" w:rsidR="0048254D" w:rsidRPr="006A6719" w:rsidRDefault="0048254D" w:rsidP="00E45249">
            <w:pPr>
              <w:pStyle w:val="Alishlah14history"/>
            </w:pPr>
            <w:r w:rsidRPr="006A6719">
              <w:t xml:space="preserve">Received </w:t>
            </w:r>
            <w:r w:rsidR="00FA43FF" w:rsidRPr="00FA43FF">
              <w:t>2021-08-14</w:t>
            </w:r>
          </w:p>
          <w:p w14:paraId="4F34FA89"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3E7C3389"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3DD1D979"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3690D478"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3770FE08" w14:textId="77777777" w:rsidTr="0048254D">
        <w:trPr>
          <w:trHeight w:val="70"/>
          <w:jc w:val="center"/>
        </w:trPr>
        <w:tc>
          <w:tcPr>
            <w:tcW w:w="2787" w:type="dxa"/>
            <w:vMerge/>
            <w:tcBorders>
              <w:top w:val="single" w:sz="4" w:space="0" w:color="auto"/>
              <w:left w:val="nil"/>
              <w:bottom w:val="single" w:sz="4" w:space="0" w:color="auto"/>
              <w:right w:val="nil"/>
            </w:tcBorders>
          </w:tcPr>
          <w:p w14:paraId="775D5DAF"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53E009AB"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54DFD22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298D93EF"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2CC1FBB" wp14:editId="6BE9E87A">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1362B5F7" w14:textId="77777777" w:rsidTr="0048254D">
        <w:trPr>
          <w:jc w:val="center"/>
        </w:trPr>
        <w:tc>
          <w:tcPr>
            <w:tcW w:w="8845" w:type="dxa"/>
            <w:gridSpan w:val="3"/>
            <w:tcBorders>
              <w:top w:val="nil"/>
              <w:left w:val="nil"/>
              <w:bottom w:val="double" w:sz="4" w:space="0" w:color="auto"/>
              <w:right w:val="nil"/>
            </w:tcBorders>
          </w:tcPr>
          <w:p w14:paraId="04CE5A51"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7B6B8DFE" w14:textId="55819CBA" w:rsidR="00457015" w:rsidRDefault="00A021B8" w:rsidP="00E45249">
            <w:pPr>
              <w:pStyle w:val="Alishlah2authorcorrespondence"/>
            </w:pPr>
            <w:r>
              <w:t>Atin Nuryadin</w:t>
            </w:r>
            <w:r w:rsidR="00457015" w:rsidRPr="00457015">
              <w:t xml:space="preserve"> </w:t>
            </w:r>
          </w:p>
          <w:p w14:paraId="68334ECB" w14:textId="627964A4" w:rsidR="0048254D" w:rsidRPr="0048254D" w:rsidRDefault="00A021B8" w:rsidP="00A021B8">
            <w:pPr>
              <w:pStyle w:val="Alishlah2authorcorrespondence"/>
              <w:ind w:left="138" w:hanging="25"/>
            </w:pPr>
            <w:r w:rsidRPr="00A021B8">
              <w:rPr>
                <w:color w:val="auto"/>
                <w:lang w:val="en-ID"/>
              </w:rPr>
              <w:t>Physics Education Study Program, Mulawarman University, Samarinda, Indonesia</w:t>
            </w:r>
            <w:r>
              <w:rPr>
                <w:color w:val="auto"/>
                <w:lang w:val="en-ID"/>
              </w:rPr>
              <w:t xml:space="preserve"> 75123</w:t>
            </w:r>
            <w:r w:rsidRPr="002B31FD">
              <w:rPr>
                <w:color w:val="auto"/>
                <w:lang w:val="en-GB"/>
              </w:rPr>
              <w:t xml:space="preserve">; </w:t>
            </w:r>
            <w:r>
              <w:rPr>
                <w:color w:val="auto"/>
                <w:lang w:val="en-GB"/>
              </w:rPr>
              <w:t>atin.nuryadin</w:t>
            </w:r>
            <w:r w:rsidRPr="002B31FD">
              <w:rPr>
                <w:color w:val="auto"/>
                <w:lang w:val="en-GB"/>
              </w:rPr>
              <w:t>@</w:t>
            </w:r>
            <w:r>
              <w:rPr>
                <w:color w:val="auto"/>
                <w:lang w:val="en-GB"/>
              </w:rPr>
              <w:t>fkip</w:t>
            </w:r>
            <w:r w:rsidRPr="002B31FD">
              <w:rPr>
                <w:color w:val="auto"/>
                <w:lang w:val="en-GB"/>
              </w:rPr>
              <w:t>.</w:t>
            </w:r>
            <w:r>
              <w:rPr>
                <w:color w:val="auto"/>
                <w:lang w:val="en-GB"/>
              </w:rPr>
              <w:t>unmul.ac.id</w:t>
            </w:r>
          </w:p>
        </w:tc>
      </w:tr>
    </w:tbl>
    <w:p w14:paraId="4CEB6DA4" w14:textId="77777777" w:rsidR="008E64A2" w:rsidRPr="00A75CB1" w:rsidRDefault="0048254D" w:rsidP="00A10E86">
      <w:pPr>
        <w:pStyle w:val="Alishlah21heading1"/>
        <w:rPr>
          <w:lang w:val="en-GB"/>
        </w:rPr>
      </w:pPr>
      <w:r w:rsidRPr="00A75CB1">
        <w:rPr>
          <w:lang w:val="en-GB"/>
        </w:rPr>
        <w:lastRenderedPageBreak/>
        <w:t>INTRODUCTION</w:t>
      </w:r>
    </w:p>
    <w:p w14:paraId="197EC20A" w14:textId="27040FC5" w:rsidR="00A021B8" w:rsidRPr="00A021B8" w:rsidRDefault="00A021B8" w:rsidP="00A021B8">
      <w:pPr>
        <w:pStyle w:val="JRPMBody"/>
        <w:rPr>
          <w:rFonts w:ascii="Palatino Linotype" w:hAnsi="Palatino Linotype" w:cs="Arial"/>
          <w:sz w:val="20"/>
          <w:szCs w:val="20"/>
          <w:lang w:val="en-US"/>
        </w:rPr>
      </w:pPr>
      <w:r w:rsidRPr="00A021B8">
        <w:rPr>
          <w:rFonts w:ascii="Palatino Linotype" w:hAnsi="Palatino Linotype" w:cs="Arial"/>
          <w:sz w:val="20"/>
          <w:szCs w:val="20"/>
          <w:lang w:val="en-US"/>
        </w:rPr>
        <w:t xml:space="preserve">Turbidity is an important indicator of water quality, and surface water in Indonesia, particularly in rivers, is usually highly turbid during the rainy season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{"citationItems":[{"id":"ITEM-1","itemData":{"DOI":"10.1016/j.proeng.2015.11.029","ISBN":"6241183257","ISSN":"18777058","abstract":"The need for groundwater supply is increasing. However, with excessive exploitation, the groundwater table has drawn down, and thus resulted in land subsidence, seawater intrusion and groundwater deterioration. In order to maintain the groundwater supply, various attempts, such as the use of natural or artificial recharges, have been done. One of the artificial recharging methods which were previously studied was recharge reservoir construction in the soils with permeability less than 10-5 cm3/sec using a sand column. However, sedimentation could occur at a site where the recharge reservoir was constructed. Therefore, the levels of water turbidity, which could lead to sedimentation and blockage of groundwater flow (seepage), should be investigated. This research aimed to investigate the rate of blockage impact resulting from sedimentation in the sand column. More specifically, the aim of the research was to determine what types of sand column should be used in the field to minimize the groundwater problems. Experimental tests were carried out in the laboratory to measure the discharge of seepage through the soil layers and the sand column. The size of the physical model testing instrument was 180 cm x 115 cm x 60 cm with 12 pieces of the sand column (35 cm high), the reservoir water level of 10 cm, and three variations of water turbidity and deposition time. The research revealed that the higher the water turbidity, and the longer the period of deposition, the less the flow rate of groundwater recharge. As a result, turbid water should be prevented to infiltrate sand columns in recharge reservoirs.","author":[{"dropping-particle":"","family":"Azis","given":"Akhmad","non-dropping-particle":"","parse-names":false,"suffix":""},{"dropping-particle":"","family":"Yusuf","given":"Hamzah","non-dropping-particle":"","parse-names":false,"suffix":""},{"dropping-particle":"","family":"Faisal","given":"Zulfiyah","non-dropping-particle":"","parse-names":false,"suffix":""},{"dropping-particle":"","family":"Suradi","given":"Muhammad","non-dropping-particle":"","parse-names":false,"suffix":""}],"container-title":"Procedia Engineering","id":"ITEM-1","issued":{"date-parts":[["2015"]]},"page":"199-206","publisher":"Elsevier B.V.","title":"Water turbidity impact on discharge decrease of groundwater recharge in recharge reservoir","type":"article-journal","volume":"125"},"uris":["http://www.mendeley.com/documents/?uuid=43162d4a-3ff3-4831-a2f4-81595d3489b6"]}],"mendeley":{"formattedCitation":"(Azis, Yusuf, Faisal, &amp; Suradi, 2015)","plainTextFormattedCitation":"(Azis, Yusuf, Faisal, &amp; Suradi, 2015)","previouslyFormattedCitation":"(Azis, Yusuf, Faisal, &amp; Suradi, 2015)"},"properties":{"noteIndex":0},"schema":"https://github.com/citation-style-language/schema/raw/master/csl-citation.json"}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(Azis, Yusuf, Faisal, &amp; Suradi, 2015)</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xml:space="preserve">. In general, turbidity refers to cloudiness or haziness in water that is primarily due to human activity in certain industries, such as mining and agriculture, which cause particles to mix with water and move together. Turbidity in water can change the color of the water, reduce the oxygen concentration in the water, and impose health risks on aquatic ecosystems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{"citationItems":[{"id":"ITEM-1","itemData":{"abstract":"This paper aimed to describe the effects of sand mining on the Kelantan River with respect to physical and chemical parameter analyses. Three replicates of water samples were collected from ive stations along the Kelantan River (November 2010 until February 2011). The physical parameters included water temperature , water conductivity, dissolved oxygen (DO), pH, total dissolved solids (TDS), total suspended solids (TSS) and turbidity, whereas the chemical parameters included the concentration of nitrogen nutrients such as ammonia, nitrate and nitrite. The Kelantan River case study revealed that TSS, turbidity and nitrate contents exceed the Malaysian Interim National Water Quality Standard (INWQS) range and are signiicantly different between Station 1 (KK) and Station 3 (TM). Station 1 has the largest variation of TDS, TSS, turbidity and nitrogen nutrients because of sand mining and upstream logging activities. The extremely high content of TSS and the turbidity have caused poor and stressful conditions for the aquatic life in the Kelantan River.","author":[{"dropping-particle":"","family":"Yen","given":"Tan Peck","non-dropping-particle":"","parse-names":false,"suffix":""},{"dropping-particle":"","family":"Rohasliney","given":"H","non-dropping-particle":"","parse-names":false,"suffix":""}],"container-title":"Tropical Life Sciences Research","id":"ITEM-1","issue":"1","issued":{"date-parts":[["2013"]]},"page":"19-34","title":"Status of water quality subject to sand mining in the Kelantan River, Kelantan","type":"article-journal","volume":"24"},"uris":["http://www.mendeley.com/documents/?uuid=3486e048-ef27-4f65-bea7-71c4971d5e40"]},{"id":"ITEM-2","itemData":{"author":[{"dropping-particle":"","family":"Subagiyo","given":"Lambang","non-dropping-particle":"","parse-names":false,"suffix":""},{"dropping-particle":"","family":"Nuryadin","given":"Atin","non-dropping-particle":"","parse-names":false,"suffix":""},{"dropping-particle":"","family":"Sulaeman","given":"Nurul F","non-dropping-particle":"","parse-names":false,"suffix":""},{"dropping-particle":"","family":"Widyastuti","given":"Rina","non-dropping-particle":"","parse-names":false,"suffix":""}],"container-title":"Pollution Research","id":"ITEM-2","issue":"3","issued":{"date-parts":[["2019"]]},"page":"536-543","title":"Water quality status of Kalimantan water bodies based on the pollution index","type":"article-journal","volume":"38"},"uris":["http://www.mendeley.com/documents/?uuid=7a97b977-9fa6-4529-82ba-088c911135b5"]}],"mendeley":{"formattedCitation":"(Subagiyo, Nuryadin, Sulaeman, &amp; Widyastuti, 2019; Yen &amp; Rohasliney, 2013)","plainTextFormattedCitation":"(Subagiyo, Nuryadin, Sulaeman, &amp; Widyastuti, 2019; Yen &amp; Rohasliney, 2013)","previouslyFormattedCitation":"(Subagiyo, Nuryadin, Sulaeman, &amp; Widyastuti, 2019; Yen &amp; Rohasliney, 2013)"},"properties":{"noteIndex":0},"schema":"https://github.com/citation-style-language/schema/raw/master/csl-citation.json"}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(Subagiyo, Nuryadin, Sulaeman, &amp; Widyastuti, 2019; Yen &amp; Rohasliney, 2013)</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As a result, it is everyone's responsibility to preserve clean water. In education, it is imperative that students are educated about water issues and turbidity in order to ensure water conservation in the future. This topic is also part of the science education curriculum for the high school level. For this reason, it is important to use the right teaching method when teaching environmental issues in a class.</w:t>
      </w:r>
    </w:p>
    <w:p w14:paraId="2EE6B727" w14:textId="0F8AB188" w:rsidR="00A021B8" w:rsidRPr="00A021B8" w:rsidRDefault="00A021B8" w:rsidP="00A021B8">
      <w:pPr>
        <w:pStyle w:val="JRPMBody"/>
        <w:rPr>
          <w:rFonts w:ascii="Palatino Linotype" w:hAnsi="Palatino Linotype" w:cs="Arial"/>
          <w:sz w:val="20"/>
          <w:szCs w:val="20"/>
          <w:lang w:val="en-US"/>
        </w:rPr>
      </w:pPr>
      <w:r w:rsidRPr="00A021B8">
        <w:rPr>
          <w:rFonts w:ascii="Palatino Linotype" w:hAnsi="Palatino Linotype" w:cs="Arial"/>
          <w:sz w:val="20"/>
          <w:szCs w:val="20"/>
          <w:lang w:val="en-US"/>
        </w:rPr>
        <w:t xml:space="preserve">A study has found that a project-based learning model based on contextual problems can improve students’ ability to solve environmental issues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{"citationItems":[{"id":"ITEM-1","itemData":{"DOI":"10.26737/jetl.v5i1.1035","ISSN":"2477-8478","abstract":"The purpose of this research is to determine the effectiveness of the development of the Project-Based Learning (PjBL) model based on local wisdom in solving environmental problems and the students’ ability to develop learning media. Research conducted at Educational Faculty and teaching sciences of Pakuan University. This research uses the method of Research and Development with the ADDIE model, comprising analyses, design, development, implementation, and evaluation. The data were obtained from the validation by three experts, namely learning material expert, learning media expert, and learning model expert. The effectiveness assessment was done by N-Gain assessment environmental problem-solving ability and evaluating the multimedia product. The steps to develop the model are as follows: need analysis, designing learning model development, learning model development, learning model validation by the experts, learning model implementation in class, and model evaluation. The product created by the students from learning through PjBL based on local wisdom is a video about local wisdom. According to the data analysis result, it can be concluded that model development of PjBL based on local wisdom improves their ability to solve environmental problems, the average score is 0.69 in experiment class and the score in control class is 0.055 (scales of 0-1.0). The ability to develop video environmental learning media the score video product in experiment class is 2.4 and in the control class is 2.2 (scales of 1-3).","author":[{"dropping-particle":"","family":"Retnowati","given":"Rita","non-dropping-particle":"","parse-names":false,"suffix":""},{"dropping-particle":"","family":"Istiana","given":"Rita","non-dropping-particle":"","parse-names":false,"suffix":""},{"dropping-particle":"","family":"Nadiroh","given":"Nadiroh","non-dropping-particle":"","parse-names":false,"suffix":""}],"container-title":"JETL (Journal of Education, Teaching and Learning)","id":"ITEM-1","issue":"1","issued":{"date-parts":[["2020","3","31"]]},"page":"137","title":"Developing project-based learning related to local wisdom in improving students’ problem-solving skills","type":"article-journal","volume":"5"},"uris":["http://www.mendeley.com/documents/?uuid=51c2c517-5612-4cb9-a55f-a2ed2b9b1e14"]}],"mendeley":{"formattedCitation":"(Retnowati, Istiana, &amp; Nadiroh, 2020)","plainTextFormattedCitation":"(Retnowati, Istiana, &amp; Nadiroh, 2020)","previouslyFormattedCitation":"(Retnowati, Istiana, &amp; Nadiroh, 2020)"},"properties":{"noteIndex":0},"schema":"https://github.com/citation-style-language/schema/raw/master/csl-citation.json"}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(Retnowati, Istiana, &amp; Nadiroh, 2020)</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xml:space="preserve">. The project-based learning method focuses on enabling learners to build knowledge through the completion of meaningful projects and the development of real-world products. However, as learning nowadays needs to change with the trend in the globalization era, project-based learning needs to be integrated with Science, Technology, Engineering, and Mathematics (STEM) education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{"citationItems":[{"id":"ITEM-1","itemData":{"abstract":"Penelitian ini bertujuan untuk menguji kelayakan majalah It-Fly va yang sengaja ditulis berdasarkan hasil penelitian tentang keanekaragaman lalat buah di Agro Cepoko sebagai alternatif pilihan sumber belajar biologi yang memuat pengetahuan mengenai keanekaragaman hayati, serangga, pengelolaan limbah, serta upaya dan teknologi pengendalian lalat buah. Metode penelitian yang digunakan adalah penelitian Research and Development (R&amp;D) modifikasi dari Borg and Gall dan Allesi &amp; Trollip melalui dua tahapan uji produk yaitu uji alfa dan uji beta. Uji alfa dalam penelitian ini dilakukan menggunakan lembar validasi penilaian kelayakan buku yang diadaptasi dari BSNP 2014 meliputi empat komponen kelayakan yaitu teknik penyajian, isi, kebahasaan, dan kegrafikan yang diujikan kepada ahli materi dan media. Uji beta dalam penelitian ini dilakukan untuk menguji produk dalam skala kecil. Uji beta dilakukan dengan menggunakan lembar validasi dan lembar tanggapan yang diujikan kepada pengguna yaitu guru dan siswa. Analisis hasil penelitian menggunakan uji alfa yang dilakukan kepada ahli materi dan media terhadap majalah mendapat kategori sangat layak pada aspek teknik penyajian, isi, dan kegrafikan. Pada aspek kebahasaan memperoleh kategori penilaian yang layak. Analisis hasil uji beta yang dilakukan kepada guru dan siswa menunjukkan tanggapan yang positif terhadap majalah melalui lembar tanggapan siswa. Dengan demikian dapat disimpulkan bahwa majalah It-Fly va yang ditulis berdasarkan hasil penelitian tentang lalat buah di Agro Cepoko memperoleh kriteria penilaian buku berdasarkan standar BSNP dengan kategori sangat layak digunakan sebagai alternatif pilihan sumber belajar biologi untuk siswa.","author":[{"dropping-particle":"","family":"Roslina","given":"","non-dropping-particle":"","parse-names":false,"suffix":""},{"dropping-particle":"","family":"Samsudin","given":"Achmad","non-dropping-particle":"","parse-names":false,"suffix":""},{"dropping-particle":"","family":"Liliawati","given":"Winny","non-dropping-particle":"","parse-names":false,"suffix":""}],"container-title":"Phenomenon","id":"ITEM-1","issue":"1","issued":{"date-parts":[["2022"]]},"page":"120-139","title":"Effectiveness of project based learning integrated STEM in physics education (STEM-PjBL)","type":"article-journal","volume":"12"},"uris":["http://www.mendeley.com/documents/?uuid=b706d77b-3106-4195-b724-f1b94f0eab58"]}],"mendeley":{"formattedCitation":"(Roslina, Samsudin, &amp; Liliawati, 2022)","plainTextFormattedCitation":"(Roslina, Samsudin, &amp; Liliawati, 2022)","previouslyFormattedCitation":"(Roslina, Samsudin, &amp; Liliawati, 2022)"},"properties":{"noteIndex":0},"schema":"https://github.com/citation-style-language/schema/raw/master/csl-citation.json"}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(Roslina, Samsudin, &amp; Liliawati, 2022)</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xml:space="preserve">. In STEM, authentic projects fuel students' curiosity and generate excitement and a sense of empathy by allowing them to engage in real-life problems. STEM with project-based learning model can help students to develop high-order thinking skills in solving real-life problems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{"citationItems":[{"id":"ITEM-1","itemData":{"DOI":"10.3390/educsci12110780","ISSN":"2227-7102","abstract":"Water treatment processes are designed to ensure that any pollutant’s adverse effects on the environment are reduced to the minimum allowable discharge limit. Water-literate individuals ought to effectively and constantly think about novel hydrologic concepts to improve the quality and sufficiency of water. Socio-hydrological issues remain the main source of water pollution and insufficiency in society. Therefore, effective water management and treatment require societal understanding. The complexity of water issues requires equipping STEM education students with the necessary knowledge to acquire water solution reasoning skills. However, STEM students need meaningful challenges with everyday connections to capture their interest to apply intuitive understanding in project-based learning. Water-related issues such as high turbidity are ubiquitous problems facing communities. This study specifically explored how project-based learning can be harnessed to enhance STEM students’ critical thinking skills using water treatment activities. The water treatment activity involved the development of novel products using agricultural wastes for efficient water treatment. The social issues associated with agricultural wastes, especially orange and banana peels in the environment, are too obvious to be overlooked; hence, they were chosen as base materials to develop water treatment products. The study adopted an action research design and involved 12 purposively selected third-year Bachelor of Science students majoring in Chemistry at a South African university. The students were divided into two groups consisting of six participants. The researchers implemented team teaching and invoked students’ knowledge of Earth Science, Physics, Chemistry, and Technology to develop and implement laboratory experimental activities and class-based lesson plans. The empirical investigation was underpinned by the Five Steps of Project-Based Learning as the underlying theoretical framework. The chemistry of the processed peels such as particle size and functional groups provided insight into the mechanism responsible for water turbidity reduction. Laboratory experimental results revealed that the turbidity reduction obtained from the use of processed banana peels was higher than the processed orange peels coagulant. However, the performance of both coagulants in turbidity reduction complied with the South African National Standard (SANS241) for drinking water quality.","author":[{"dropping-particle":"","family":"Oyewo","given":"Opeyemi A.","non-dropping-particle":"","parse-names":false,"suffix":""},{"dropping-particle":"","family":"Ramaila","given":"Sam","non-dropping-particle":"","parse-names":false,"suffix":""},{"dropping-particle":"","family":"Mavuru","given":"Lydia","non-dropping-particle":"","parse-names":false,"suffix":""}],"container-title":"Education Sciences","id":"ITEM-1","issue":"11","issued":{"date-parts":[["2022","11","3"]]},"page":"780","title":"Harnessing project-based learning to enhance STEM students’ critical thinking skills using water treatment activity","type":"article-journal","volume":"12"},"uris":["http://www.mendeley.com/documents/?uuid=ceb89179-68c8-4fcc-becb-3b99922f49da"]}],"mendeley":{"formattedCitation":"(Oyewo, Ramaila, &amp; Mavuru, 2022)","plainTextFormattedCitation":"(Oyewo, Ramaila, &amp; Mavuru, 2022)","previouslyFormattedCitation":"(Oyewo, Ramaila, &amp; Mavuru, 2022)"},"properties":{"noteIndex":0},"schema":"https://github.com/citation-style-language/schema/raw/master/csl-citation.json"}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(Oyewo, Ramaila, &amp; Mavuru, 2022)</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xml:space="preserve">. Typically, STEM teaching is implemented using the engineering design process (EDP) as an instructional framework </w:t>
      </w:r>
      <w:r w:rsidRPr="00A021B8">
        <w:rPr>
          <w:rFonts w:ascii="Palatino Linotype" w:hAnsi="Palatino Linotype" w:cs="Arial"/>
          <w:sz w:val="20"/>
          <w:szCs w:val="20"/>
          <w:lang w:val="en-US"/>
        </w:rPr>
        <w:fldChar w:fldCharType="begin" w:fldLock="1"/>
      </w:r>
      <w:r w:rsidRPr="00A021B8">
        <w:rPr>
          <w:rFonts w:ascii="Palatino Linotype" w:hAnsi="Palatino Linotype" w:cs="Arial"/>
          <w:sz w:val="20"/>
          <w:szCs w:val="20"/>
          <w:lang w:val="en-US"/>
        </w:rPr>
        <w:instrText>ADDIN CSL_CITATION {"citationItems":[{"id":"ITEM-1","itemData":{"ISSN":"16483898","abstract":"This research was conducted to evaluate the learning experience of Grade Ten students from two Malaysian rural secondary schools that adopted the integration of STEM in an Engineering Design Process (STEM-EDP) approach vis-á-vis an outreach challenge program. A total of 89 students undertook a ten hour program which engaged them in designing and building three different prototypes as well as answering higher order thinking questions. Data on students' learning experience were captured through participants' responses to a six-point Likert scale questionnaire, teachers' field notes, and open-ended questions. The questionnaire result reveals statistically significant gains in knowledge or skills about, attitudes toward, and practices on STEM. The STEM-EDP outreach challenge program brought awareness to rural school students of their potential as problem solvers, thinkers, creators, and collaborators. Students were able to simultaneously broaden their boundaries in knowledge and competency even though they experienced difficulties in tackling challenges associated with STEM activities. Findings suggested that the STEM-EDP approach can be applied as a means for fostering creativity, problem solving skills, and thinking skills among rural secondary school students.","author":[{"dropping-particle":"","family":"Siew","given":"Nyet Moi","non-dropping-particle":"","parse-names":false,"suffix":""}],"container-title":"The Eurasia Proceedings of Educational &amp; Social Sciences (EPESS)","id":"ITEM-1","issue":"4","issued":{"date-parts":[["2017"]]},"page":"128-141","title":"Integrating STEM in an engineering design process: The learning experience","type":"article-journal","volume":"6"},"uris":["http://www.mendeley.com/documents/?uuid=955173b8-69fc-4331-a7fe-3aa91b510f84"]}],"mendeley":{"formattedCitation":"(Siew, 2017)","plainTextFormattedCitation":"(Siew, 2017)","previouslyFormattedCitation":"(Siew, 2017)"},"properties":{"noteIndex":0},"schema":"https://github.com/citation-style-language/schema/raw/master/csl-citation.json"}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Pr="00A021B8">
        <w:rPr>
          <w:rFonts w:ascii="Palatino Linotype" w:hAnsi="Palatino Linotype" w:cs="Arial"/>
          <w:noProof/>
          <w:sz w:val="20"/>
          <w:szCs w:val="20"/>
          <w:lang w:val="en-US"/>
        </w:rPr>
        <w:t>(Siew, 2017)</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xml:space="preserve">. Many studies have proved that EDP improves student achievement, especially in terms of students' mastery of science, their interests in science, and their attitudes towards it, as well as improving technical skills (engineering and technology)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DOI":"10.17478/jegys.645047","ISSN":"2149-360X","author":[{"dropping-particle":"","family":"Nurtanto","given":"Muhammad","non-dropping-particle":"","parse-names":false,"suffix":""},{"dropping-particle":"","family":"Pardjono","given":"Pardjono","non-dropping-particle":"","parse-names":false,"suffix":""},{"dropping-particle":"","family":"Widarto","given":"Widarto","non-dropping-particle":"","parse-names":false,"suffix":""},{"dropping-particle":"","family":"Ramdani","given":"Sulaeman Deni","non-dropping-particle":"","parse-names":false,"suffix":""}],"container-title":"Journal for the Education of Gifted Young Scientists","id":"ITEM-1","issue":"2","issued":{"date-parts":[["2020","6","15"]]},"page":"633-649","title":"The effect of STEM-EDP in professional learning on automotive engineering competence in vocational high school","type":"article-journal","volume":"8"},"uris":["http://www.mendeley.com/documents/?uuid=5dc5ed27-f117-46cd-9c94-411c39c841a7"]}],"mendeley":{"formattedCitation":"(Nurtanto, Pardjono, Widarto, &amp; Ramdani, 2020)","plainTextFormattedCitation":"(Nurtanto, Pardjono, Widarto, &amp; Ramdani, 2020)","previouslyFormattedCitation":"(Nurtanto, Pardjono, Widarto, &amp; Ramdani, 2020)"},"properties":{"noteIndex":0},"schema":"https://github.com/citation-style-language/schema/raw/master/csl-citation.json"}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(Nurtanto, Pardjono, Widarto, &amp; Ramdani, 2020)</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xml:space="preserve">. In EDP, students are guided through the same process as engineers, scientists, or mathematicians would use to solve a problem. STEM with the EDP model (STEM-EDP) is intended to help students solve open problems, develop creativity, formulate solutions, make decisions, and consider alternative solutions to meet various challenges. However, in order to create an effective STEM-EDP implementation, teachers must be properly trained and experienced in conducting STEM-EDP learning </w:t>
      </w:r>
      <w:r w:rsidRPr="00A021B8">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{"citationItems":[{"id":"ITEM-1","itemData":{"DOI":"10.3926/jotse.1191","ISSN":"2013-6374","abstract":"STEM (science, technology, engineering, mathematics) education is widespread around the globe, with various theoretical frameworks and challenges from practical perspectives. In classroom practice, teacher readiness to conduct STEM learning is essential for its successful implementation. This study explores physics teachers’ readiness for STEM education using the Alignment, Capabilities, Engagement, or ACE, framework. Data collection is based on 101 teachers’ responses to six open-ended questions. Interestingly, all the teachers showed strong alignment with STEM education and how to implement it. Most of them have known STEM education as integrating technology, engineering, and mathematics to science (physics), but only about half of them have experience conducting STEM lessons. They have basic capabilities of identifying the possibilities of implementation in various physics curricula, such as motion, electricity, and fluids. However, in the online learning made necessary by the COVID-19 pandemic, the possibility of implementation is weakened. The teachers showed their engagement to explore more detail in designing and implementing STEM in their classrooms. Also reflected in the study was a significant challenge in terms of pedagogical and time management. Therefore, professional development in STEM education is essential to support teachers’ alignment, capabilities, and engagement to develop their readiness. As specific examples, STEM learning materials in motion, electricity, and fluids could help teachers understand the design and implementation of STEM education.","author":[{"dropping-particle":"","family":"Sulaeman","given":"Nurul","non-dropping-particle":"","parse-names":false,"suffix":""},{"dropping-particle":"","family":"Efwinda","given":"Shelly","non-dropping-particle":"","parse-names":false,"suffix":""},{"dropping-particle":"","family":"Putra","given":"Pramudya Dwi Aristya","non-dropping-particle":"","parse-names":false,"suffix":""}],"container-title":"Journal of Technology and Science Education","id":"ITEM-1","issue":"1","issued":{"date-parts":[["2022","2"]]},"page":"68","title":"Teacher readiness in STEM education: Voices of Indonesian physics teachers","type":"article-journal","volume":"12"},"uris":["http://www.mendeley.com/documents/?uuid=ba58b8b7-bd87-42ab-868c-1d32e5e1bb7b"]}],"mendeley":{"formattedCitation":"(Sulaeman, Efwinda, &amp; Putra, 2022)","plainTextFormattedCitation":"(Sulaeman, Efwinda, &amp; Putra, 2022)","previouslyFormattedCitation":"(Sulaeman, Efwinda, &amp; Putra, 2022)"},"properties":{"noteIndex":0},"schema":"https://github.com/citation-style-language/schema/raw/master/csl-citation.json"}</w:instrText>
      </w:r>
      <w:r w:rsidRPr="00A021B8">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(Sulaeman, Efwinda, &amp; Putra, 2022)</w:t>
      </w:r>
      <w:r w:rsidRPr="00A021B8">
        <w:rPr>
          <w:rFonts w:ascii="Palatino Linotype" w:hAnsi="Palatino Linotype" w:cs="Arial"/>
          <w:sz w:val="20"/>
          <w:szCs w:val="20"/>
          <w:lang w:val="en-US"/>
        </w:rPr>
        <w:fldChar w:fldCharType="end"/>
      </w:r>
      <w:r w:rsidRPr="00A021B8">
        <w:rPr>
          <w:rFonts w:ascii="Palatino Linotype" w:hAnsi="Palatino Linotype" w:cs="Arial"/>
          <w:sz w:val="20"/>
          <w:szCs w:val="20"/>
          <w:lang w:val="en-US"/>
        </w:rPr>
        <w:t>. Therefore, experiencing real learning with STEM-EDP in the classroom is crucial for the implementation of STEM-EDP in learning before pre-service teachers become real educators in the future.</w:t>
      </w:r>
    </w:p>
    <w:p w14:paraId="0E37BCE8" w14:textId="1E6807E8" w:rsidR="00727D5A" w:rsidRPr="00FE5C27" w:rsidRDefault="00A021B8" w:rsidP="00FE5C27">
      <w:pPr>
        <w:pStyle w:val="Alishlah31text"/>
        <w:rPr>
          <w:rFonts w:eastAsia="SimSun"/>
          <w:spacing w:val="-2"/>
          <w:szCs w:val="20"/>
          <w:lang w:val="en-ID" w:eastAsia="zh-CN"/>
        </w:rPr>
      </w:pPr>
      <w:r w:rsidRPr="00A021B8">
        <w:rPr>
          <w:rFonts w:cs="Arial"/>
          <w:szCs w:val="20"/>
        </w:rPr>
        <w:t xml:space="preserve">The preparation of teachers is an important component of STEM-EDP learning </w:t>
      </w:r>
      <w:r w:rsidRPr="00A021B8">
        <w:rPr>
          <w:rFonts w:cs="Arial"/>
          <w:szCs w:val="20"/>
        </w:rPr>
        <w:fldChar w:fldCharType="begin" w:fldLock="1"/>
      </w:r>
      <w:r w:rsidRPr="00A021B8">
        <w:rPr>
          <w:rFonts w:cs="Arial"/>
          <w:szCs w:val="20"/>
        </w:rPr>
        <w:instrText>ADDIN CSL_CITATION {"citationItems":[{"id":"ITEM-1","itemData":{"DOI":"10.1186/s40594-018-0151-2","ISSN":"2196-7822","author":[{"dropping-particle":"","family":"Margot","given":"Kelly C.","non-dropping-particle":"","parse-names":false,"suffix":""},{"dropping-particle":"","family":"Kettler","given":"Todd","non-dropping-particle":"","parse-names":false,"suffix":""}],"container-title":"International Journal of STEM Education","id":"ITEM-1","issue":"2","issued":{"date-parts":[["2019","12","14"]]},"title":"Teachers’ perception of STEM integration and education: A systematic literature review","type":"article-journal","volume":"6"},"uris":["http://www.mendeley.com/documents/?uuid=b2019009-2100-4562-a1f9-ca58a40e07c6"]}],"mendeley":{"formattedCitation":"(Margot &amp; Kettler, 2019)","plainTextFormattedCitation":"(Margot &amp; Kettler, 2019)","previouslyFormattedCitation":"(Margot &amp; Kettler, 2019)"},"properties":{"noteIndex":0},"schema":"https://github.com/citation-style-language/schema/raw/master/csl-citation.json"}</w:instrText>
      </w:r>
      <w:r w:rsidRPr="00A021B8">
        <w:rPr>
          <w:rFonts w:cs="Arial"/>
          <w:szCs w:val="20"/>
        </w:rPr>
        <w:fldChar w:fldCharType="separate"/>
      </w:r>
      <w:r w:rsidRPr="00A021B8">
        <w:rPr>
          <w:rFonts w:cs="Arial"/>
          <w:noProof/>
          <w:szCs w:val="20"/>
        </w:rPr>
        <w:t>(Margot &amp; Kettler, 2019)</w:t>
      </w:r>
      <w:r w:rsidRPr="00A021B8">
        <w:rPr>
          <w:rFonts w:cs="Arial"/>
          <w:szCs w:val="20"/>
        </w:rPr>
        <w:fldChar w:fldCharType="end"/>
      </w:r>
      <w:r w:rsidRPr="00A021B8">
        <w:rPr>
          <w:rFonts w:cs="Arial"/>
          <w:szCs w:val="20"/>
        </w:rPr>
        <w:t>. In particular, it is the teachers who are responsible for implementing or integrating STEM-EDP in the classroom. Hence, preparing pre-service teachers at the university level is essential in order to achieve a successful STEM-EDP implementation at school. Further, to motivate teachers to implement STEM-EDP learning in class and ensure that the implementation of STEM-EDP is meaningful, pre-service teachers must first understand the benefits students receive from integrating STEM-EDP learning into their classrooms. Based on the aforementioned explanation, it is clear that teachers need to be prepared with the knowledge, skills, and experience needed to implement STEM-EDP learning while still in university. Then, as an initial stage, this study tried to find out and describe pre-service teachers' perceptions of how STEM-EDP learning could help students to complete projects on water turbidity reduction</w:t>
      </w:r>
      <w:r w:rsidR="002B31FD" w:rsidRPr="00A021B8">
        <w:rPr>
          <w:rFonts w:eastAsia="SimSun"/>
          <w:spacing w:val="-2"/>
          <w:szCs w:val="20"/>
          <w:lang w:val="en-ID" w:eastAsia="zh-CN"/>
        </w:rPr>
        <w:t>.</w:t>
      </w:r>
    </w:p>
    <w:p w14:paraId="0B56D00C" w14:textId="77777777" w:rsidR="005B5AEC" w:rsidRPr="00723B12" w:rsidRDefault="005B5AEC" w:rsidP="005B5AEC">
      <w:pPr>
        <w:pStyle w:val="Alishlah21heading1"/>
        <w:rPr>
          <w:rFonts w:eastAsia="Arial"/>
        </w:rPr>
      </w:pPr>
      <w:r w:rsidRPr="00723B12">
        <w:rPr>
          <w:rFonts w:eastAsia="Arial"/>
        </w:rPr>
        <w:t xml:space="preserve">METHODS </w:t>
      </w:r>
    </w:p>
    <w:p w14:paraId="22E57332" w14:textId="1C859E63" w:rsidR="004D7CB7" w:rsidRPr="004D7CB7" w:rsidRDefault="004D7CB7" w:rsidP="004D7CB7">
      <w:pPr>
        <w:pStyle w:val="JRPMBody"/>
        <w:rPr>
          <w:rFonts w:ascii="Palatino Linotype" w:hAnsi="Palatino Linotype" w:cs="Arial"/>
          <w:sz w:val="20"/>
          <w:szCs w:val="20"/>
          <w:lang w:val="en-US"/>
        </w:rPr>
      </w:pPr>
      <w:r w:rsidRPr="004D7CB7">
        <w:rPr>
          <w:rFonts w:ascii="Palatino Linotype" w:hAnsi="Palatino Linotype" w:cs="Arial"/>
          <w:sz w:val="20"/>
          <w:szCs w:val="20"/>
          <w:lang w:val="en-US"/>
        </w:rPr>
        <w:t xml:space="preserve">This study is qualitative descriptive research. The samples in this study, which consisted of 39 pre-service teachers from two classes of the Integrated Science course, were divided into 13 groups. </w:t>
      </w:r>
      <w:r w:rsidRPr="004D7CB7">
        <w:rPr>
          <w:rFonts w:ascii="Palatino Linotype" w:hAnsi="Palatino Linotype" w:cs="Arial"/>
          <w:sz w:val="20"/>
          <w:szCs w:val="20"/>
          <w:lang w:val="en-US"/>
        </w:rPr>
        <w:lastRenderedPageBreak/>
        <w:t xml:space="preserve">They were given four meeting projects to design and build a water turbidity meter and water filter using commonly available materials through a developed STEM-EDP worksheet. The worksheet development process has been explained in a previous study </w:t>
      </w:r>
      <w:r w:rsidRPr="004D7CB7">
        <w:rPr>
          <w:rFonts w:ascii="Palatino Linotype" w:hAnsi="Palatino Linotype" w:cs="Arial"/>
          <w:sz w:val="20"/>
          <w:szCs w:val="20"/>
          <w:lang w:val="en-US"/>
        </w:rPr>
        <w:fldChar w:fldCharType="begin" w:fldLock="1"/>
      </w:r>
      <w:r w:rsidR="00CC159F">
        <w:rPr>
          <w:rFonts w:ascii="Palatino Linotype" w:hAnsi="Palatino Linotype" w:cs="Arial"/>
          <w:sz w:val="20"/>
          <w:szCs w:val="20"/>
          <w:lang w:val="en-US"/>
        </w:rPr>
        <w:instrText>ADDIN CSL_CITATION {"citationItems":[{"id":"ITEM-1","itemData":{"DOI":"10.20527/jipf.v7i1.7775","ISSN":"2549-9963","abstract":"This research aims to design a worksheet using the Engineering Design Process (EDP) model to promote Sustainable Development Goals (SDGs) that are appropriate for pre-service physics teachers. The specific objectives of this study are to describe the validity of the worksheet and explore the pre-service physics teacher's response to the worksheet. The research design is research and development (R&amp;D) with a model of analysis, design, development, implementation, and evaluation (ADDIE). The participants in this study were 45 pre-service science teachers. The research instruments are the worksheet validation sheet and the response questionnaire. The results show that the worksheet is categorized as very feasible. In addition, based on the pre-service physics teachers' responses, the worksheet is in a good category. It can be concluded that the developed worksheet using the EDP model is appropriate for learning.","author":[{"dropping-particle":"","family":"Nuryadin","given":"Atin","non-dropping-particle":"","parse-names":false,"suffix":""},{"dropping-particle":"","family":"Sulaeman","given":"Nurul","non-dropping-particle":"","parse-names":false,"suffix":""},{"dropping-particle":"","family":"Subagiyo","given":"Lambang","non-dropping-particle":"","parse-names":false,"suffix":""},{"dropping-particle":"","family":"Sholeh","given":"Muhammad","non-dropping-particle":"","parse-names":false,"suffix":""},{"dropping-particle":"","family":"Andrianto","given":"Eko","non-dropping-particle":"","parse-names":false,"suffix":""}],"container-title":"Jurnal Ilmiah Pendidikan Fisika","id":"ITEM-1","issue":"1","issued":{"date-parts":[["2023","3","31"]]},"page":"183","title":"Developing worksheets using engineering design process to promote sustainable development goals for pre-service physics teacher","type":"article-journal","volume":"7"},"uris":["http://www.mendeley.com/documents/?uuid=092d4744-4d63-4a7e-bc4b-209e171bfb8e"]}],"mendeley":{"formattedCitation":"(Nuryadin, Sulaeman, Subagiyo, Sholeh, &amp; Andrianto, 2023)","plainTextFormattedCitation":"(Nuryadin, Sulaeman, Subagiyo, Sholeh, &amp; Andrianto, 2023)","previouslyFormattedCitation":"(Nuryadin, Sulaeman, Subagiyo, Sholeh, &amp; Andrianto, 2023)"},"properties":{"noteIndex":0},"schema":"https://github.com/citation-style-language/schema/raw/master/csl-citation.json"}</w:instrText>
      </w:r>
      <w:r w:rsidRPr="004D7CB7">
        <w:rPr>
          <w:rFonts w:ascii="Palatino Linotype" w:hAnsi="Palatino Linotype" w:cs="Arial"/>
          <w:sz w:val="20"/>
          <w:szCs w:val="20"/>
          <w:lang w:val="en-US"/>
        </w:rPr>
        <w:fldChar w:fldCharType="separate"/>
      </w:r>
      <w:r w:rsidR="00CC159F" w:rsidRPr="00CC159F">
        <w:rPr>
          <w:rFonts w:ascii="Palatino Linotype" w:hAnsi="Palatino Linotype" w:cs="Arial"/>
          <w:noProof/>
          <w:sz w:val="20"/>
          <w:szCs w:val="20"/>
          <w:lang w:val="en-US"/>
        </w:rPr>
        <w:t>(Nuryadin, Sulaeman, Subagiyo, Sholeh, &amp; Andrianto, 2023)</w:t>
      </w:r>
      <w:r w:rsidRPr="004D7CB7">
        <w:rPr>
          <w:rFonts w:ascii="Palatino Linotype" w:hAnsi="Palatino Linotype" w:cs="Arial"/>
          <w:sz w:val="20"/>
          <w:szCs w:val="20"/>
          <w:lang w:val="en-US"/>
        </w:rPr>
        <w:fldChar w:fldCharType="end"/>
      </w:r>
      <w:r w:rsidRPr="004D7CB7">
        <w:rPr>
          <w:rFonts w:ascii="Palatino Linotype" w:hAnsi="Palatino Linotype" w:cs="Arial"/>
          <w:sz w:val="20"/>
          <w:szCs w:val="20"/>
          <w:lang w:val="en-US"/>
        </w:rPr>
        <w:t>. The STEM component of science focused on the concept of scattering, absorption, and light reflection in the development of a water turbidity meter, and particle transport on filtration. As for the Technology component, the smartphone application of the lux meter was used for developing the turbidity meter, and the internet was used for browsing information about the mechanisms of turbidity measurement and water filtration. The Engineering component involved planning and designing a turbidity meter and a water filtration system at a low cost. Additionally, the Mathematics component was applied to plot graphs and calculate the water debit and manufacturing cost.</w:t>
      </w:r>
    </w:p>
    <w:p w14:paraId="1C7825F1" w14:textId="654C5DD1" w:rsidR="005B5AEC" w:rsidRPr="004D7CB7" w:rsidRDefault="004D7CB7" w:rsidP="004D7CB7">
      <w:pPr>
        <w:pStyle w:val="Alishlah31text"/>
        <w:rPr>
          <w:szCs w:val="20"/>
        </w:rPr>
      </w:pPr>
      <w:r w:rsidRPr="004D7CB7">
        <w:rPr>
          <w:rFonts w:cs="Arial"/>
          <w:szCs w:val="20"/>
        </w:rPr>
        <w:t xml:space="preserve"> Pre-service teachers complete the project via the EDP procedure on the developed worksheet. The EDP procedure of the worksheet consisted of Define, Learn, Plan, Try, Test, and Decide. In Define stage, pre-service teachers identified the client’s needs relating to water issues and their constraints through given problem letters on the worksheet. After that, in Learn stage, they conducted a literature study to find information about water turbidity and filtration, and then looked for solution methods to solve water turbidity issues. Designing and developing the turbidity meter and water filter was conducted in the Plan stage. In the Try stage, they tested and evaluated the developed water turbidity meter and water filter. In the Test stage, they redesigned the developed turbidity meter and water filter as needed based on the evaluation in the previous stage. Finally, in the Decide stage, the pre-service teacher presented their designs to the whole group and decided which kind of design was proper for the turbidity meter and water filter. At the end of the project, an open-ended question was used to clarify the students' perspectives on how STEM-EDP helped them complete worksheet projects. The analysis of pre-service teachers’ answers to the question was performed through keywords, word co-occurrence network, and answer highlight analyses.</w:t>
      </w:r>
    </w:p>
    <w:p w14:paraId="48545043"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6597FFA4" w14:textId="3617CECA" w:rsidR="002B31FD" w:rsidRDefault="004D7CB7" w:rsidP="004D7CB7">
      <w:pPr>
        <w:pStyle w:val="Alishlah31text"/>
        <w:rPr>
          <w:rFonts w:cs="Arial"/>
          <w:szCs w:val="20"/>
        </w:rPr>
      </w:pPr>
      <w:r w:rsidRPr="004D7CB7">
        <w:rPr>
          <w:rFonts w:cs="Arial"/>
          <w:szCs w:val="20"/>
        </w:rPr>
        <w:t xml:space="preserve">The purpose of this study was to investigate how pre-service physics teachers think STEM-EDP can help students complete projects on water turbidity </w:t>
      </w:r>
      <w:r>
        <w:rPr>
          <w:rFonts w:cs="Arial"/>
          <w:szCs w:val="20"/>
        </w:rPr>
        <w:t>problems</w:t>
      </w:r>
      <w:r w:rsidRPr="004D7CB7">
        <w:rPr>
          <w:rFonts w:cs="Arial"/>
          <w:szCs w:val="20"/>
        </w:rPr>
        <w:t xml:space="preserve">. In order to identify which concepts are prominent in the pre-service teachers' answers, a keyword analysis was conducted </w:t>
      </w:r>
      <w:r w:rsidRPr="004D7CB7">
        <w:rPr>
          <w:rFonts w:cs="Arial"/>
          <w:szCs w:val="20"/>
        </w:rPr>
        <w:fldChar w:fldCharType="begin" w:fldLock="1"/>
      </w:r>
      <w:r w:rsidRPr="004D7CB7">
        <w:rPr>
          <w:rFonts w:cs="Arial"/>
          <w:szCs w:val="20"/>
        </w:rPr>
        <w:instrText>ADDIN CSL_CITATION {"citationItems":[{"id":"ITEM-1","itemData":{"DOI":"10.1007/s11528-014-0750-9","ISSN":"8756-3894","author":[{"dropping-particle":"","family":"DePaolo","given":"Concetta A.","non-dropping-particle":"","parse-names":false,"suffix":""},{"dropping-particle":"","family":"Wilkinson","given":"Kelly","non-dropping-particle":"","parse-names":false,"suffix":""}],"container-title":"TechTrends","id":"ITEM-1","issue":"3","issued":{"date-parts":[["2014","5","21"]]},"page":"38-44","title":"Get your head into the clouds: Using word clouds for analyzing qualitative assessment data","type":"article-journal","volume":"58"},"uris":["http://www.mendeley.com/documents/?uuid=b0b6be95-3f74-43bf-b92d-48f7a8b0e0b3"]}],"mendeley":{"formattedCitation":"(DePaolo &amp; Wilkinson, 2014)","plainTextFormattedCitation":"(DePaolo &amp; Wilkinson, 2014)","previouslyFormattedCitation":"(DePaolo &amp; Wilkinson, 2014)"},"properties":{"noteIndex":0},"schema":"https://github.com/citation-style-language/schema/raw/master/csl-citation.json"}</w:instrText>
      </w:r>
      <w:r w:rsidRPr="004D7CB7">
        <w:rPr>
          <w:rFonts w:cs="Arial"/>
          <w:szCs w:val="20"/>
        </w:rPr>
        <w:fldChar w:fldCharType="separate"/>
      </w:r>
      <w:r w:rsidRPr="004D7CB7">
        <w:rPr>
          <w:rFonts w:cs="Arial"/>
          <w:noProof/>
          <w:szCs w:val="20"/>
        </w:rPr>
        <w:t>(DePaolo &amp; Wilkinson, 2014)</w:t>
      </w:r>
      <w:r w:rsidRPr="004D7CB7">
        <w:rPr>
          <w:rFonts w:cs="Arial"/>
          <w:szCs w:val="20"/>
        </w:rPr>
        <w:fldChar w:fldCharType="end"/>
      </w:r>
      <w:r w:rsidRPr="004D7CB7">
        <w:rPr>
          <w:rFonts w:cs="Arial"/>
          <w:szCs w:val="20"/>
        </w:rPr>
        <w:t xml:space="preserve">. Figure 1 shows the word cloud constructed by students' answers to a given question related to how STEM-EDP helped them to complete the projects. In all the answers, the most commonly used keywords are </w:t>
      </w:r>
      <w:r w:rsidRPr="004D7CB7">
        <w:rPr>
          <w:rFonts w:cs="Arial"/>
          <w:i/>
          <w:iCs/>
          <w:szCs w:val="20"/>
        </w:rPr>
        <w:t>water</w:t>
      </w:r>
      <w:r w:rsidRPr="004D7CB7">
        <w:rPr>
          <w:rFonts w:cs="Arial"/>
          <w:szCs w:val="20"/>
        </w:rPr>
        <w:t xml:space="preserve">, </w:t>
      </w:r>
      <w:r w:rsidRPr="004D7CB7">
        <w:rPr>
          <w:rFonts w:cs="Arial"/>
          <w:i/>
          <w:iCs/>
          <w:szCs w:val="20"/>
        </w:rPr>
        <w:t>STEM-EDP</w:t>
      </w:r>
      <w:r w:rsidRPr="004D7CB7">
        <w:rPr>
          <w:rFonts w:cs="Arial"/>
          <w:szCs w:val="20"/>
        </w:rPr>
        <w:t xml:space="preserve">, </w:t>
      </w:r>
      <w:r w:rsidRPr="004D7CB7">
        <w:rPr>
          <w:rFonts w:cs="Arial"/>
          <w:i/>
          <w:iCs/>
          <w:szCs w:val="20"/>
        </w:rPr>
        <w:t>project</w:t>
      </w:r>
      <w:r w:rsidRPr="004D7CB7">
        <w:rPr>
          <w:rFonts w:cs="Arial"/>
          <w:szCs w:val="20"/>
        </w:rPr>
        <w:t xml:space="preserve">, </w:t>
      </w:r>
      <w:r w:rsidRPr="004D7CB7">
        <w:rPr>
          <w:rFonts w:cs="Arial"/>
          <w:i/>
          <w:iCs/>
          <w:szCs w:val="20"/>
        </w:rPr>
        <w:t>approach</w:t>
      </w:r>
      <w:r w:rsidRPr="004D7CB7">
        <w:rPr>
          <w:rFonts w:cs="Arial"/>
          <w:szCs w:val="20"/>
        </w:rPr>
        <w:t xml:space="preserve">, </w:t>
      </w:r>
      <w:r w:rsidRPr="004D7CB7">
        <w:rPr>
          <w:rFonts w:cs="Arial"/>
          <w:i/>
          <w:iCs/>
          <w:szCs w:val="20"/>
        </w:rPr>
        <w:t>turbidity</w:t>
      </w:r>
      <w:r w:rsidRPr="004D7CB7">
        <w:rPr>
          <w:rFonts w:cs="Arial"/>
          <w:szCs w:val="20"/>
        </w:rPr>
        <w:t xml:space="preserve">, and </w:t>
      </w:r>
      <w:r w:rsidRPr="004D7CB7">
        <w:rPr>
          <w:rFonts w:cs="Arial"/>
          <w:i/>
          <w:iCs/>
          <w:szCs w:val="20"/>
        </w:rPr>
        <w:t>problems</w:t>
      </w:r>
      <w:r w:rsidRPr="004D7CB7">
        <w:rPr>
          <w:rFonts w:cs="Arial"/>
          <w:szCs w:val="20"/>
        </w:rPr>
        <w:t xml:space="preserve">. These are related to the explanation of the activity that they have conducted on the answers, which is project-based learning with STEM-EDP on water turbidity problems. Since the STEM approach was used in the project, the words </w:t>
      </w:r>
      <w:r w:rsidRPr="004D7CB7">
        <w:rPr>
          <w:rFonts w:cs="Arial"/>
          <w:i/>
          <w:iCs/>
          <w:szCs w:val="20"/>
        </w:rPr>
        <w:t>technology</w:t>
      </w:r>
      <w:r w:rsidRPr="004D7CB7">
        <w:rPr>
          <w:rFonts w:cs="Arial"/>
          <w:szCs w:val="20"/>
        </w:rPr>
        <w:t xml:space="preserve">, </w:t>
      </w:r>
      <w:r w:rsidRPr="004D7CB7">
        <w:rPr>
          <w:rFonts w:cs="Arial"/>
          <w:i/>
          <w:iCs/>
          <w:szCs w:val="20"/>
        </w:rPr>
        <w:t>science</w:t>
      </w:r>
      <w:r w:rsidRPr="004D7CB7">
        <w:rPr>
          <w:rFonts w:cs="Arial"/>
          <w:szCs w:val="20"/>
        </w:rPr>
        <w:t xml:space="preserve">, </w:t>
      </w:r>
      <w:r w:rsidRPr="004D7CB7">
        <w:rPr>
          <w:rFonts w:cs="Arial"/>
          <w:i/>
          <w:iCs/>
          <w:szCs w:val="20"/>
        </w:rPr>
        <w:t>mathematics</w:t>
      </w:r>
      <w:r w:rsidRPr="004D7CB7">
        <w:rPr>
          <w:rFonts w:cs="Arial"/>
          <w:szCs w:val="20"/>
        </w:rPr>
        <w:t xml:space="preserve">, and </w:t>
      </w:r>
      <w:r w:rsidRPr="004D7CB7">
        <w:rPr>
          <w:rFonts w:cs="Arial"/>
          <w:i/>
          <w:iCs/>
          <w:szCs w:val="20"/>
        </w:rPr>
        <w:t>engineering</w:t>
      </w:r>
      <w:r w:rsidRPr="004D7CB7">
        <w:rPr>
          <w:rFonts w:cs="Arial"/>
          <w:szCs w:val="20"/>
        </w:rPr>
        <w:t xml:space="preserve"> are also found in high frequencies in their answers. Moreover, the word queries </w:t>
      </w:r>
      <w:r w:rsidRPr="004D7CB7">
        <w:rPr>
          <w:rFonts w:cs="Arial"/>
          <w:i/>
          <w:iCs/>
          <w:szCs w:val="20"/>
        </w:rPr>
        <w:t>helped</w:t>
      </w:r>
      <w:r w:rsidRPr="004D7CB7">
        <w:rPr>
          <w:rFonts w:cs="Arial"/>
          <w:szCs w:val="20"/>
        </w:rPr>
        <w:t xml:space="preserve">, </w:t>
      </w:r>
      <w:r w:rsidRPr="004D7CB7">
        <w:rPr>
          <w:rFonts w:cs="Arial"/>
          <w:i/>
          <w:iCs/>
          <w:szCs w:val="20"/>
        </w:rPr>
        <w:t>make</w:t>
      </w:r>
      <w:r w:rsidRPr="004D7CB7">
        <w:rPr>
          <w:rFonts w:cs="Arial"/>
          <w:szCs w:val="20"/>
        </w:rPr>
        <w:t xml:space="preserve">, </w:t>
      </w:r>
      <w:r w:rsidRPr="004D7CB7">
        <w:rPr>
          <w:rFonts w:cs="Arial"/>
          <w:i/>
          <w:iCs/>
          <w:szCs w:val="20"/>
        </w:rPr>
        <w:t>solving</w:t>
      </w:r>
      <w:r w:rsidRPr="004D7CB7">
        <w:rPr>
          <w:rFonts w:cs="Arial"/>
          <w:szCs w:val="20"/>
        </w:rPr>
        <w:t xml:space="preserve">, </w:t>
      </w:r>
      <w:r w:rsidRPr="004D7CB7">
        <w:rPr>
          <w:rFonts w:cs="Arial"/>
          <w:i/>
          <w:iCs/>
          <w:szCs w:val="20"/>
        </w:rPr>
        <w:t>designing</w:t>
      </w:r>
      <w:r w:rsidRPr="004D7CB7">
        <w:rPr>
          <w:rFonts w:cs="Arial"/>
          <w:szCs w:val="20"/>
        </w:rPr>
        <w:t xml:space="preserve">, and </w:t>
      </w:r>
      <w:r w:rsidRPr="004D7CB7">
        <w:rPr>
          <w:rFonts w:cs="Arial"/>
          <w:i/>
          <w:iCs/>
          <w:szCs w:val="20"/>
        </w:rPr>
        <w:t>measuring</w:t>
      </w:r>
      <w:r w:rsidRPr="004D7CB7">
        <w:rPr>
          <w:rFonts w:cs="Arial"/>
          <w:szCs w:val="20"/>
        </w:rPr>
        <w:t xml:space="preserve"> can be recognized as the basic keywords of the analysis, synthesis, and evaluation level of thinking skills </w:t>
      </w:r>
      <w:r w:rsidRPr="004D7CB7">
        <w:rPr>
          <w:rFonts w:cs="Arial"/>
          <w:szCs w:val="20"/>
        </w:rPr>
        <w:fldChar w:fldCharType="begin" w:fldLock="1"/>
      </w:r>
      <w:r w:rsidR="00CC159F">
        <w:rPr>
          <w:rFonts w:cs="Arial"/>
          <w:szCs w:val="20"/>
        </w:rPr>
        <w:instrText>ADDIN CSL_CITATION {"citationItems":[{"id":"ITEM-1","itemData":{"author":[{"dropping-particle":"","family":"Lamoste","given":"Lyka D","non-dropping-particle":"","parse-names":false,"suffix":""},{"dropping-particle":"","family":"Lagunzad","given":"Catherine Genevieve B.","non-dropping-particle":"","parse-names":false,"suffix":""},{"dropping-particle":"","family":"Distor","given":"John Oliver P.","non-dropping-particle":"","parse-names":false,"suffix":""}],"container-title":"APCoRE Journal Proceeding","id":"ITEM-1","issue":"May","issued":{"date-parts":[["2020"]]},"page":"114-119","publisher":"Asia Pasific Consosrtium of Researchers and Educators, Inc.","publisher-place":"Pasay City, Philippines","title":"apabilities of augmented reality in teaching and learning: Students 'perception","type":"paper-conference"},"uris":["http://www.mendeley.com/documents/?uuid=b60be98f-dea9-485c-9b4b-1d482d3f7173"]},{"id":"ITEM-2","itemData":{"DOI":"10.17576/geo-2019-1501-02","ISSN":"21802491","abstract":"The current English language education in Malaysia has integrated the Higher-Order Thinking Skills (HOTS) as part of its testing and evaluation system, which aims to enhance students' cognitive skills and abilities in learning. Having a higher-order thinking ability at the earliest stage of formal education (primary and elementary levels) is essential in order to meet the growing demand for highly intelligent and professional workers in the future. The present study aims to identify the use of HOTS items in selected English reading comprehension examinations for Standard 6 students in Malaysia. 80 reading comprehension items were selected from various final examination papers distributed in eight different states in the country. Data were quantitatively analysed using content analysis based on the levels of cognitive listed in Bloom's Taxonomy. Apart from that, the data were also analysed based on a series of professional evaluations made by four content experts in the country. The findings indicate that most reading comprehension questions in the English examination papers need further revisions in order to achieve the standard of HOTS that have become part of the new curriculum and national education policy. Based on the findings, some practical suggestions have also been developed to further enhance the use of HOTS in English teaching and learning practices in Malaysia.","author":[{"dropping-particle":"","family":"Valdev Singh","given":"Randip Kaur","non-dropping-particle":"","parse-names":false,"suffix":""},{"dropping-particle":"","family":"Shaari","given":"Azianura Hani","non-dropping-particle":"","parse-names":false,"suffix":""}],"container-title":"Malaysian Journal of Society and Space","id":"ITEM-2","issue":"1","issued":{"date-parts":[["2019"]]},"page":"12-26","title":"The analysis of higher-order thinking skills in english reading comprehension tests in Malaysia","type":"article-journal","volume":"15"},"uris":["http://www.mendeley.com/documents/?uuid=79c47184-d95f-4e92-9fbe-071541b548c3"]}],"mendeley":{"formattedCitation":"(Lamoste, Lagunzad, &amp; Distor, 2020; Valdev Singh &amp; Shaari, 2019)","plainTextFormattedCitation":"(Lamoste, Lagunzad, &amp; Distor, 2020; Valdev Singh &amp; Shaari, 2019)","previouslyFormattedCitation":"(Lamoste, Lagunzad, &amp; Distor, 2020; Valdev Singh &amp; Shaari, 2019)"},"properties":{"noteIndex":0},"schema":"https://github.com/citation-style-language/schema/raw/master/csl-citation.json"}</w:instrText>
      </w:r>
      <w:r w:rsidRPr="004D7CB7">
        <w:rPr>
          <w:rFonts w:cs="Arial"/>
          <w:szCs w:val="20"/>
        </w:rPr>
        <w:fldChar w:fldCharType="separate"/>
      </w:r>
      <w:r w:rsidR="00CC159F" w:rsidRPr="00CC159F">
        <w:rPr>
          <w:rFonts w:cs="Arial"/>
          <w:noProof/>
          <w:szCs w:val="20"/>
        </w:rPr>
        <w:t>(Lamoste, Lagunzad, &amp; Distor, 2020; Valdev Singh &amp; Shaari, 2019)</w:t>
      </w:r>
      <w:r w:rsidRPr="004D7CB7">
        <w:rPr>
          <w:rFonts w:cs="Arial"/>
          <w:szCs w:val="20"/>
        </w:rPr>
        <w:fldChar w:fldCharType="end"/>
      </w:r>
      <w:r w:rsidRPr="004D7CB7">
        <w:rPr>
          <w:rFonts w:cs="Arial"/>
          <w:szCs w:val="20"/>
        </w:rPr>
        <w:t>. It means that the STEM-EDP project tended to make pre-service teachers use higher-order thinking, which involves the development of critical thinking and problem-solving abilities.</w:t>
      </w:r>
    </w:p>
    <w:tbl>
      <w:tblPr>
        <w:tblW w:w="0" w:type="auto"/>
        <w:tblLook w:val="04A0" w:firstRow="1" w:lastRow="0" w:firstColumn="1" w:lastColumn="0" w:noHBand="0" w:noVBand="1"/>
      </w:tblPr>
      <w:tblGrid>
        <w:gridCol w:w="9026"/>
      </w:tblGrid>
      <w:tr w:rsidR="004D7CB7" w:rsidRPr="004841C5" w14:paraId="0C42BD21" w14:textId="77777777" w:rsidTr="004D7CB7">
        <w:tc>
          <w:tcPr>
            <w:tcW w:w="9026" w:type="dxa"/>
            <w:shd w:val="clear" w:color="auto" w:fill="auto"/>
            <w:vAlign w:val="center"/>
          </w:tcPr>
          <w:p w14:paraId="6AF320EB" w14:textId="6EFCFA30" w:rsidR="004D7CB7" w:rsidRPr="00F36A2E" w:rsidRDefault="004D7CB7" w:rsidP="004D7CB7">
            <w:pPr>
              <w:adjustRightInd w:val="0"/>
              <w:snapToGrid w:val="0"/>
              <w:jc w:val="center"/>
              <w:rPr>
                <w:sz w:val="20"/>
              </w:rPr>
            </w:pPr>
            <w:r w:rsidRPr="00617B0E">
              <w:rPr>
                <w:noProof/>
              </w:rPr>
              <w:lastRenderedPageBreak/>
              <w:drawing>
                <wp:inline distT="0" distB="0" distL="0" distR="0" wp14:anchorId="244C3EDA" wp14:editId="0898F508">
                  <wp:extent cx="3461385" cy="3331210"/>
                  <wp:effectExtent l="0" t="0" r="5715" b="2540"/>
                  <wp:docPr id="449790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8791"/>
                          <a:stretch>
                            <a:fillRect/>
                          </a:stretch>
                        </pic:blipFill>
                        <pic:spPr bwMode="auto">
                          <a:xfrm>
                            <a:off x="0" y="0"/>
                            <a:ext cx="3461385" cy="3331210"/>
                          </a:xfrm>
                          <a:prstGeom prst="rect">
                            <a:avLst/>
                          </a:prstGeom>
                          <a:noFill/>
                          <a:ln>
                            <a:noFill/>
                          </a:ln>
                        </pic:spPr>
                      </pic:pic>
                    </a:graphicData>
                  </a:graphic>
                </wp:inline>
              </w:drawing>
            </w:r>
          </w:p>
        </w:tc>
      </w:tr>
    </w:tbl>
    <w:p w14:paraId="775E41DF" w14:textId="19145F73" w:rsidR="004D7CB7" w:rsidRPr="004841C5" w:rsidRDefault="004D7CB7" w:rsidP="004D7CB7">
      <w:pPr>
        <w:pStyle w:val="Alishlah51figurecaption"/>
        <w:jc w:val="center"/>
      </w:pPr>
      <w:r w:rsidRPr="004841C5">
        <w:rPr>
          <w:b/>
        </w:rPr>
        <w:t>Figure 1.</w:t>
      </w:r>
      <w:r w:rsidRPr="004841C5">
        <w:t xml:space="preserve"> </w:t>
      </w:r>
      <w:r w:rsidRPr="004D7CB7">
        <w:t>Keyword analysis of pre-service teachers' answers</w:t>
      </w:r>
      <w:r>
        <w:t>.</w:t>
      </w:r>
    </w:p>
    <w:p w14:paraId="1A701D56" w14:textId="5A222197" w:rsidR="004D7CB7" w:rsidRDefault="004D7CB7" w:rsidP="004D7CB7">
      <w:pPr>
        <w:pStyle w:val="Alishlah31text"/>
        <w:rPr>
          <w:rFonts w:cs="Arial"/>
          <w:szCs w:val="20"/>
          <w:lang w:val="en-ID"/>
        </w:rPr>
      </w:pPr>
      <w:r w:rsidRPr="004D7CB7">
        <w:rPr>
          <w:rFonts w:cs="Arial"/>
          <w:szCs w:val="20"/>
          <w:lang w:val="en-ID"/>
        </w:rPr>
        <w:t xml:space="preserve">To analyze the potential relationships between words in a text, word co-occurrence network analysis was used in this study. The word co-occurrence analysis of 39 students' answers to the question with nouns and adjectives with a minimum TF (term frequency) of 50 can be seen in Figure 2. The size of the nodes indicates the frequency of words, the thickness of the paths indicates the strength of the connection between word pairs, and the color indicates the presence of word communities determined by the random walk method </w:t>
      </w:r>
      <w:r w:rsidRPr="004D7CB7">
        <w:rPr>
          <w:rFonts w:cs="Arial"/>
          <w:szCs w:val="20"/>
          <w:lang w:val="en-ID"/>
        </w:rPr>
        <w:fldChar w:fldCharType="begin" w:fldLock="1"/>
      </w:r>
      <w:r w:rsidRPr="004D7CB7">
        <w:rPr>
          <w:rFonts w:cs="Arial"/>
          <w:szCs w:val="20"/>
          <w:lang w:val="en-ID"/>
        </w:rPr>
        <w:instrText>ADDIN CSL_CITATION {"citationItems":[{"id":"ITEM-1","itemData":{"DOI":"10.1007/978-3-319-28231-2_50","ISBN":"9783319282312","abstract":"Abstract The term ‘smart’ represents a marketing word for all things that are embedded or enhanced by technology. One smart concept, which has gained momentum in recent years, is Smart City. It mainly focuses on how to increase the quality of life of citizens by using Information and Communication Technolo- gies (ICT). This paper aims to explore which dimensions except technology are critical for the development of a Smart City and a Smart Tourism Destination. Following a multiple case study approach, this paper develops a framework for smartness in cities and tourism destinations. This exploratory research argues that leadership, innovation, and social capital supported by human capital are the fundamental constructs of smartness. Technology applications and ICTs are enablers, which support the core constructs of smart destinations. Results open the ground for discussing how to transpose ‘smartness’ to tourism and destination levels.","author":[{"dropping-particle":"","family":"Tussyadiah","given":"Iis P.","non-dropping-particle":"","parse-names":false,"suffix":""}],"container-title":"Information and Communication Technologies in Tourism 2016","id":"ITEM-1","issue":"January 2016","issued":{"date-parts":[["2016"]]},"page":"695-708","publisher":"Springer International Publishing","publisher-place":"Cham","title":"Strategic self-presentation in the sharing economy: Implications for host branding","type":"paper-conference"},"uris":["http://www.mendeley.com/documents/?uuid=b09fd08e-df7d-4cda-a8d8-3851107784a1"]}],"mendeley":{"formattedCitation":"(Tussyadiah, 2016)","plainTextFormattedCitation":"(Tussyadiah, 2016)","previouslyFormattedCitation":"(Tussyadiah, 2016)"},"properties":{"noteIndex":0},"schema":"https://github.com/citation-style-language/schema/raw/master/csl-citation.json"}</w:instrText>
      </w:r>
      <w:r w:rsidRPr="004D7CB7">
        <w:rPr>
          <w:rFonts w:cs="Arial"/>
          <w:szCs w:val="20"/>
          <w:lang w:val="en-ID"/>
        </w:rPr>
        <w:fldChar w:fldCharType="separate"/>
      </w:r>
      <w:r w:rsidRPr="004D7CB7">
        <w:rPr>
          <w:rFonts w:cs="Arial"/>
          <w:noProof/>
          <w:szCs w:val="20"/>
          <w:lang w:val="en-ID"/>
        </w:rPr>
        <w:t>(Tussyadiah, 2016)</w:t>
      </w:r>
      <w:r w:rsidRPr="004D7CB7">
        <w:rPr>
          <w:rFonts w:cs="Arial"/>
          <w:szCs w:val="20"/>
        </w:rPr>
        <w:fldChar w:fldCharType="end"/>
      </w:r>
      <w:r w:rsidRPr="004D7CB7">
        <w:rPr>
          <w:rFonts w:cs="Arial"/>
          <w:szCs w:val="20"/>
          <w:lang w:val="en-ID"/>
        </w:rPr>
        <w:t>. The words that appear with the highest frequency in the network are the same as the results of the keyword analysis in Figure 1. It is noteworthy that the network represents isolated word communities with weak connections among them. There are two large word communities that can be seen in Figure 2. The first one is dominated by words that describe how pre-service teachers feel about the STEM-EDP role in the project. The majority of pre-service teachers felt that the STEM-EDP approach was very helpful in solving given problems and completing the projects. The second large word community is related to the description of the problems and projects they have done, which is to make a water filter and a turbidity meter using a lux meter application on a smartphone. Some isolated word communities revolve around the components of STEM (science, technology, engineering, and mathematics) and processes of the project (making filtration device, making measurement tool, and calculating water discharge). The existence of STEM components in their answers indicates that pre-service teachers realized the integration of the STEM elements during completing the project. The other isolated communities related to how STEM-EDP helped them to solve given problems on the projects, such as by enabling critical thinking, relating problems with everyday problems, and combining STEM components.</w:t>
      </w:r>
    </w:p>
    <w:tbl>
      <w:tblPr>
        <w:tblW w:w="0" w:type="auto"/>
        <w:tblLook w:val="04A0" w:firstRow="1" w:lastRow="0" w:firstColumn="1" w:lastColumn="0" w:noHBand="0" w:noVBand="1"/>
      </w:tblPr>
      <w:tblGrid>
        <w:gridCol w:w="9026"/>
      </w:tblGrid>
      <w:tr w:rsidR="004D7CB7" w:rsidRPr="004841C5" w14:paraId="37980B47" w14:textId="77777777" w:rsidTr="00EE4594">
        <w:tc>
          <w:tcPr>
            <w:tcW w:w="9026" w:type="dxa"/>
            <w:shd w:val="clear" w:color="auto" w:fill="auto"/>
            <w:vAlign w:val="center"/>
          </w:tcPr>
          <w:p w14:paraId="3FDDB5E6" w14:textId="7664F392" w:rsidR="004D7CB7" w:rsidRPr="00F36A2E" w:rsidRDefault="004D7CB7" w:rsidP="00EE4594">
            <w:pPr>
              <w:adjustRightInd w:val="0"/>
              <w:snapToGrid w:val="0"/>
              <w:jc w:val="center"/>
              <w:rPr>
                <w:sz w:val="20"/>
              </w:rPr>
            </w:pPr>
            <w:r w:rsidRPr="009728DC">
              <w:rPr>
                <w:rFonts w:ascii="Arial" w:hAnsi="Arial" w:cs="Arial"/>
                <w:noProof/>
                <w:sz w:val="23"/>
                <w:szCs w:val="23"/>
                <w:lang w:val="en-US"/>
              </w:rPr>
              <w:lastRenderedPageBreak/>
              <w:drawing>
                <wp:inline distT="0" distB="0" distL="0" distR="0" wp14:anchorId="30B8A2E2" wp14:editId="25137464">
                  <wp:extent cx="3941445" cy="4083050"/>
                  <wp:effectExtent l="0" t="0" r="1905" b="0"/>
                  <wp:docPr id="1804082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3906" r="24734" b="1718"/>
                          <a:stretch>
                            <a:fillRect/>
                          </a:stretch>
                        </pic:blipFill>
                        <pic:spPr bwMode="auto">
                          <a:xfrm>
                            <a:off x="0" y="0"/>
                            <a:ext cx="3941445" cy="4083050"/>
                          </a:xfrm>
                          <a:prstGeom prst="rect">
                            <a:avLst/>
                          </a:prstGeom>
                          <a:noFill/>
                          <a:ln>
                            <a:noFill/>
                          </a:ln>
                        </pic:spPr>
                      </pic:pic>
                    </a:graphicData>
                  </a:graphic>
                </wp:inline>
              </w:drawing>
            </w:r>
          </w:p>
        </w:tc>
      </w:tr>
    </w:tbl>
    <w:p w14:paraId="5EF56AA6" w14:textId="4B9E37FF" w:rsidR="004D7CB7" w:rsidRPr="004841C5" w:rsidRDefault="004D7CB7" w:rsidP="004D7CB7">
      <w:pPr>
        <w:pStyle w:val="Alishlah51figurecaption"/>
        <w:jc w:val="center"/>
      </w:pPr>
      <w:r w:rsidRPr="004841C5">
        <w:rPr>
          <w:b/>
        </w:rPr>
        <w:t xml:space="preserve">Figure </w:t>
      </w:r>
      <w:r w:rsidR="00CC159F">
        <w:rPr>
          <w:b/>
        </w:rPr>
        <w:t>2</w:t>
      </w:r>
      <w:r w:rsidRPr="004841C5">
        <w:rPr>
          <w:b/>
        </w:rPr>
        <w:t>.</w:t>
      </w:r>
      <w:r w:rsidRPr="004841C5">
        <w:t xml:space="preserve"> </w:t>
      </w:r>
      <w:r w:rsidR="00CC159F" w:rsidRPr="00CC159F">
        <w:t>Word co-occurrence network of pre-service teachers' answers</w:t>
      </w:r>
      <w:r>
        <w:t>.</w:t>
      </w:r>
    </w:p>
    <w:p w14:paraId="621C0B85" w14:textId="77777777" w:rsidR="004D7CB7" w:rsidRPr="004D7CB7" w:rsidRDefault="004D7CB7" w:rsidP="004D7CB7">
      <w:pPr>
        <w:pStyle w:val="Alishlah31text"/>
        <w:rPr>
          <w:szCs w:val="20"/>
        </w:rPr>
      </w:pPr>
      <w:r w:rsidRPr="004D7CB7">
        <w:rPr>
          <w:szCs w:val="20"/>
        </w:rPr>
        <w:t xml:space="preserve">The answers from pre-service teachers to the given question are analyzed to bring more light to the discussion. The analysis categorized answers into several highlights. The answer highlights and their examples are presented in Table 1. In the table, the answers are grouped into six highlights: </w:t>
      </w:r>
      <w:r w:rsidRPr="004D7CB7">
        <w:rPr>
          <w:i/>
          <w:iCs/>
          <w:szCs w:val="20"/>
        </w:rPr>
        <w:t>critical thinking</w:t>
      </w:r>
      <w:r w:rsidRPr="004D7CB7">
        <w:rPr>
          <w:szCs w:val="20"/>
        </w:rPr>
        <w:t xml:space="preserve">, </w:t>
      </w:r>
      <w:r w:rsidRPr="004D7CB7">
        <w:rPr>
          <w:i/>
          <w:iCs/>
          <w:szCs w:val="20"/>
        </w:rPr>
        <w:t>creative thinking</w:t>
      </w:r>
      <w:r w:rsidRPr="004D7CB7">
        <w:rPr>
          <w:szCs w:val="20"/>
        </w:rPr>
        <w:t xml:space="preserve">, </w:t>
      </w:r>
      <w:r w:rsidRPr="004D7CB7">
        <w:rPr>
          <w:i/>
          <w:iCs/>
          <w:szCs w:val="20"/>
        </w:rPr>
        <w:t>collaboration</w:t>
      </w:r>
      <w:r w:rsidRPr="004D7CB7">
        <w:rPr>
          <w:szCs w:val="20"/>
        </w:rPr>
        <w:t xml:space="preserve">, </w:t>
      </w:r>
      <w:r w:rsidRPr="004D7CB7">
        <w:rPr>
          <w:i/>
          <w:iCs/>
          <w:szCs w:val="20"/>
        </w:rPr>
        <w:t>communication</w:t>
      </w:r>
      <w:r w:rsidRPr="004D7CB7">
        <w:rPr>
          <w:szCs w:val="20"/>
        </w:rPr>
        <w:t xml:space="preserve">, </w:t>
      </w:r>
      <w:r w:rsidRPr="004D7CB7">
        <w:rPr>
          <w:i/>
          <w:iCs/>
          <w:szCs w:val="20"/>
        </w:rPr>
        <w:t>STEM integration</w:t>
      </w:r>
      <w:r w:rsidRPr="004D7CB7">
        <w:rPr>
          <w:szCs w:val="20"/>
        </w:rPr>
        <w:t xml:space="preserve">, and </w:t>
      </w:r>
      <w:r w:rsidRPr="004D7CB7">
        <w:rPr>
          <w:i/>
          <w:iCs/>
          <w:szCs w:val="20"/>
        </w:rPr>
        <w:t>solving real-life problems</w:t>
      </w:r>
      <w:r w:rsidRPr="004D7CB7">
        <w:rPr>
          <w:szCs w:val="20"/>
        </w:rPr>
        <w:t xml:space="preserve">. </w:t>
      </w:r>
    </w:p>
    <w:p w14:paraId="32EAD201" w14:textId="1522A66B" w:rsidR="004D7CB7" w:rsidRDefault="004D7CB7" w:rsidP="004D7CB7">
      <w:pPr>
        <w:pStyle w:val="Alishlah31text"/>
        <w:rPr>
          <w:szCs w:val="20"/>
          <w:lang w:val="en-ID"/>
        </w:rPr>
      </w:pPr>
      <w:r w:rsidRPr="004D7CB7">
        <w:rPr>
          <w:szCs w:val="20"/>
          <w:lang w:val="en-ID"/>
        </w:rPr>
        <w:t xml:space="preserve">Based on Table 1, some students (e.g., students 16 and 19) argued that the STEM-EDP helped them to think critically in solving existing problems related to water turbidity. On the project worksheet, students were given a letter about problems being experienced by campus related to water turbidity. The client in the letter asked students to design and create a turbidity meter and water filter. In the design process, students need to identify the stated problem clearly, research the problem, generate a solution based on physics concepts, develop a prototype, and evaluate the prototype based on feedback from team members </w:t>
      </w:r>
      <w:r w:rsidRPr="004D7CB7">
        <w:rPr>
          <w:szCs w:val="20"/>
          <w:lang w:val="en-ID"/>
        </w:rPr>
        <w:fldChar w:fldCharType="begin" w:fldLock="1"/>
      </w:r>
      <w:r w:rsidR="00CC159F">
        <w:rPr>
          <w:szCs w:val="20"/>
          <w:lang w:val="en-ID"/>
        </w:rPr>
        <w:instrText>ADDIN CSL_CITATION {"citationItems":[{"id":"ITEM-1","itemData":{"DOI":"10.1007/s12008-020-00697-2","ISSN":"1955-2513","abstract":"Planning prototyping strategies for conceptual design purposes is a crucial activity, which needs a clear understanding of the potentialities of the different typologies of prototype. Therefore, to prepare future designers, it is very important to provide the required information in design-related academic courses. However, prototypes and prototyping activities are often taught in specific courses with a major emphasis on the underpinning technologies, but with limited attention on design implications, especially about the fuzzy-front-end of the design process. The work presented in this paper aims at investigating about how students perceive the usefulness of prototypes during conceptual design activities, in order to provide first indications about the gap to be filled. To this purpose, two classes of students participated to an experimental session, and were asked to perform a conceptual design task individually. Subsequently, they participated to an on-line survey developed to gather information about the perceived usefulness of prototypes, in relation to the performed conceptual design activity. Several findings have been obtained from this work, but maybe the most impacting one concerns the different consideration that the two samples of students had about the fidelity of prototypes. Indeed, differently from what recently highlighted in current literature, it emerged that engineering students preferred low-fidelity prototypes. However, other unexpected evidences have been found, which highlight that at least for the considered institution, students still lack a comprehensive understanding of the design-related potentialities of prototypes.","author":[{"dropping-particle":"","family":"Carfagni","given":"Monica","non-dropping-particle":"","parse-names":false,"suffix":""},{"dropping-particle":"","family":"Fiorineschi","given":"Lorenzo","non-dropping-particle":"","parse-names":false,"suffix":""},{"dropping-particle":"","family":"Furferi","given":"Rocco","non-dropping-particle":"","parse-names":false,"suffix":""},{"dropping-particle":"","family":"Governi","given":"Lapo","non-dropping-particle":"","parse-names":false,"suffix":""},{"dropping-particle":"","family":"Rotini","given":"Federico","non-dropping-particle":"","parse-names":false,"suffix":""}],"container-title":"International Journal on Interactive Design and Manufacturing (IJIDeM)","id":"ITEM-1","issue":"4","issued":{"date-parts":[["2020","12","12"]]},"page":"1305-1319","title":"Usefulness of prototypes in conceptual design: students’ view","type":"article-journal","volume":"14"},"uris":["http://www.mendeley.com/documents/?uuid=ebf2df3d-b8a0-49fa-a9d9-dd0d3cfd69ad"]}],"mendeley":{"formattedCitation":"(Carfagni, Fiorineschi, Furferi, Governi, &amp; Rotini, 2020)","plainTextFormattedCitation":"(Carfagni, Fiorineschi, Furferi, Governi, &amp; Rotini, 2020)","previouslyFormattedCitation":"(Carfagni, Fiorineschi, Furferi, Governi, &amp; Rotini, 2020)"},"properties":{"noteIndex":0},"schema":"https://github.com/citation-style-language/schema/raw/master/csl-citation.json"}</w:instrText>
      </w:r>
      <w:r w:rsidRPr="004D7CB7">
        <w:rPr>
          <w:szCs w:val="20"/>
          <w:lang w:val="en-ID"/>
        </w:rPr>
        <w:fldChar w:fldCharType="separate"/>
      </w:r>
      <w:r w:rsidR="00CC159F" w:rsidRPr="00CC159F">
        <w:rPr>
          <w:noProof/>
          <w:szCs w:val="20"/>
          <w:lang w:val="en-ID"/>
        </w:rPr>
        <w:t>(Carfagni, Fiorineschi, Furferi, Governi, &amp; Rotini, 2020)</w:t>
      </w:r>
      <w:r w:rsidRPr="004D7CB7">
        <w:rPr>
          <w:szCs w:val="20"/>
        </w:rPr>
        <w:fldChar w:fldCharType="end"/>
      </w:r>
      <w:r w:rsidRPr="004D7CB7">
        <w:rPr>
          <w:szCs w:val="20"/>
          <w:lang w:val="en-ID"/>
        </w:rPr>
        <w:t xml:space="preserve">. This process automatically guided pre-service teachers to think critically in completing the water turbidity project. Students 6 and 7 felt that completing the project with STEM-EDP required them to think creatively. In the problem letter, pre-service teachers were encouraged to think creatively and innovatively in order to design effective water turbidity meters and water filter equipment. They also have to design and create solutions to make a product safer or more cost-effective, as required in the problem letter. Moreover, it was found that project-oriented problem-based learning related to real-world problems could promote students' creativity </w:t>
      </w:r>
      <w:r w:rsidRPr="004D7CB7">
        <w:rPr>
          <w:szCs w:val="20"/>
          <w:lang w:val="en-ID"/>
        </w:rPr>
        <w:fldChar w:fldCharType="begin" w:fldLock="1"/>
      </w:r>
      <w:r w:rsidRPr="004D7CB7">
        <w:rPr>
          <w:szCs w:val="20"/>
          <w:lang w:val="en-ID"/>
        </w:rPr>
        <w:instrText>ADDIN CSL_CITATION {"citationItems":[{"id":"ITEM-1","itemData":{"DOI":"10.1016/j.tsc.2022.101173","ISSN":"18711871","author":[{"dropping-particle":"","family":"Chang","given":"Te-Sheng","non-dropping-particle":"","parse-names":false,"suffix":""},{"dropping-particle":"","family":"Wang","given":"Hung-Che","non-dropping-particle":"","parse-names":false,"suffix":""},{"dropping-particle":"","family":"Haynes","given":"Alexander MacDonald","non-dropping-particle":"","parse-names":false,"suffix":""},{"dropping-particle":"","family":"Song","given":"Mei-Mei","non-dropping-particle":"","parse-names":false,"suffix":""},{"dropping-particle":"","family":"Lai","given":"Shih-Yao","non-dropping-particle":"","parse-names":false,"suffix":""},{"dropping-particle":"","family":"Hsieh","given":"Shang-Hsien","non-dropping-particle":"","parse-names":false,"suffix":""}],"container-title":"Thinking Skills and Creativity","id":"ITEM-1","issued":{"date-parts":[["2022","12"]]},"page":"101173","title":"Enhancing student creativity through an interdisciplinary, project-oriented problem-based learning undergraduate curriculum","type":"article-journal","volume":"46"},"uris":["http://www.mendeley.com/documents/?uuid=cd279d1d-12a8-40df-ae6f-3cb1f8a6b71a"]}],"mendeley":{"formattedCitation":"(Chang et al., 2022)","plainTextFormattedCitation":"(Chang et al., 2022)","previouslyFormattedCitation":"(Chang et al., 2022)"},"properties":{"noteIndex":0},"schema":"https://github.com/citation-style-language/schema/raw/master/csl-citation.json"}</w:instrText>
      </w:r>
      <w:r w:rsidRPr="004D7CB7">
        <w:rPr>
          <w:szCs w:val="20"/>
          <w:lang w:val="en-ID"/>
        </w:rPr>
        <w:fldChar w:fldCharType="separate"/>
      </w:r>
      <w:r w:rsidRPr="004D7CB7">
        <w:rPr>
          <w:noProof/>
          <w:szCs w:val="20"/>
          <w:lang w:val="en-ID"/>
        </w:rPr>
        <w:t>(Chang et al., 2022)</w:t>
      </w:r>
      <w:r w:rsidRPr="004D7CB7">
        <w:rPr>
          <w:szCs w:val="20"/>
        </w:rPr>
        <w:fldChar w:fldCharType="end"/>
      </w:r>
      <w:r w:rsidRPr="004D7CB7">
        <w:rPr>
          <w:szCs w:val="20"/>
          <w:lang w:val="en-ID"/>
        </w:rPr>
        <w:t xml:space="preserve">. From the answers of students 32 and 35, it can be concluded that the developed STEM-EDP helped them to complete the project because they worked collaboratively in a group. Working in a group exposes students to continuous interaction, which can enhance their learning experience by building a sense of trust and dependence on their fellow members to perform tasks together efficiently and effectively </w:t>
      </w:r>
      <w:r w:rsidRPr="004D7CB7">
        <w:rPr>
          <w:szCs w:val="20"/>
          <w:lang w:val="en-ID"/>
        </w:rPr>
        <w:fldChar w:fldCharType="begin" w:fldLock="1"/>
      </w:r>
      <w:r w:rsidRPr="004D7CB7">
        <w:rPr>
          <w:szCs w:val="20"/>
          <w:lang w:val="en-ID"/>
        </w:rPr>
        <w:instrText>ADDIN CSL_CITATION {"citationItems":[{"id":"ITEM-1","itemData":{"DOI":"10.5430/wje.v12n3p1","ISSN":"1925-0746","abstract":"Teaching Design and Technology that focuses only on the end product had led to students less exposure to collaboration skills in their learning. Therefore, a study that determines the teaching method in applying collaboration skills among students and its effect is required. The two teaching methods used were the ‘doing a project’ method for the control group and project-based learning for the treatment group. A quasi-experimental study was carried out with a nonequivalent control group. Two groups were selected from two different daily schools consisting of 34 students for the control group and 32 students for the treatment group. A pre-test, followed by an intervention for 7 weeks was carried out. After the intervention, a post-test was carried out for both groups. A questionnaire regarding collaboration skills was used in both tests. The data obtained were analyzed descriptively and by inference. The pre-test showed that there was no significant difference in the level of collaboration of both groups. However, the results of the post-test showed that the level of collaboration in the treatment group is significantly higher than in the control group. Thus, the study showed that collaboration can be applied and cultivated among students by using project-based learning. This can be achieved by structured discussion from explicit planning, and student-centered learning activities with teaching and learning aids that support the execution of students’ project work.","author":[{"dropping-particle":"","family":"Ibrahim","given":"Dayang Suryati","non-dropping-particle":"","parse-names":false,"suffix":""},{"dropping-particle":"","family":"Rashid","given":"Abdullah Mat","non-dropping-particle":"","parse-names":false,"suffix":""}],"container-title":"World Journal of Education","id":"ITEM-1","issue":"3","issued":{"date-parts":[["2022"]]},"page":"1","title":"Effect of project-based learning towards collaboration among students in the design and technology subject","type":"article-journal","volume":"12"},"uris":["http://www.mendeley.com/documents/?uuid=118d45e0-52f5-4612-8c07-f4c8fc6c96b7"]}],"mendeley":{"formattedCitation":"(Ibrahim &amp; Rashid, 2022)","plainTextFormattedCitation":"(Ibrahim &amp; Rashid, 2022)","previouslyFormattedCitation":"(Ibrahim &amp; Rashid, 2022)"},"properties":{"noteIndex":0},"schema":"https://github.com/citation-style-language/schema/raw/master/csl-citation.json"}</w:instrText>
      </w:r>
      <w:r w:rsidRPr="004D7CB7">
        <w:rPr>
          <w:szCs w:val="20"/>
          <w:lang w:val="en-ID"/>
        </w:rPr>
        <w:fldChar w:fldCharType="separate"/>
      </w:r>
      <w:r w:rsidRPr="004D7CB7">
        <w:rPr>
          <w:noProof/>
          <w:szCs w:val="20"/>
          <w:lang w:val="en-ID"/>
        </w:rPr>
        <w:t>(Ibrahim &amp; Rashid, 2022)</w:t>
      </w:r>
      <w:r w:rsidRPr="004D7CB7">
        <w:rPr>
          <w:szCs w:val="20"/>
        </w:rPr>
        <w:fldChar w:fldCharType="end"/>
      </w:r>
      <w:r w:rsidRPr="004D7CB7">
        <w:rPr>
          <w:szCs w:val="20"/>
          <w:lang w:val="en-ID"/>
        </w:rPr>
        <w:t xml:space="preserve">. Furthermore, students </w:t>
      </w:r>
      <w:r w:rsidRPr="004D7CB7">
        <w:rPr>
          <w:szCs w:val="20"/>
          <w:lang w:val="en-ID"/>
        </w:rPr>
        <w:lastRenderedPageBreak/>
        <w:t>19 and 11 thought that the communication aspect helped them to perform the project, where this aspect was enabled by conducting the project in a team.</w:t>
      </w:r>
    </w:p>
    <w:p w14:paraId="52384E4F" w14:textId="70E78AF2" w:rsidR="00CC159F" w:rsidRPr="004841C5" w:rsidRDefault="00CC159F" w:rsidP="00CC159F">
      <w:pPr>
        <w:pStyle w:val="Alishlah41tablecaption"/>
        <w:jc w:val="both"/>
      </w:pPr>
      <w:r w:rsidRPr="004841C5">
        <w:t>Table 1</w:t>
      </w:r>
      <w:r w:rsidRPr="002B31FD">
        <w:rPr>
          <w:b w:val="0"/>
          <w:bCs w:val="0"/>
        </w:rPr>
        <w:t xml:space="preserve">. </w:t>
      </w:r>
      <w:r w:rsidRPr="00CC159F">
        <w:rPr>
          <w:b w:val="0"/>
          <w:bCs w:val="0"/>
        </w:rPr>
        <w:t xml:space="preserve">Highlights of pre-service teachers' answers on how STEM-EDP could help students to complete projects on water turbidity </w:t>
      </w:r>
      <w:r>
        <w:rPr>
          <w:b w:val="0"/>
          <w:bCs w:val="0"/>
        </w:rPr>
        <w:t>problems</w:t>
      </w:r>
      <w:r w:rsidRPr="002B31FD">
        <w:rPr>
          <w:b w:val="0"/>
          <w:bCs w:val="0"/>
        </w:rPr>
        <w:t>.</w:t>
      </w:r>
    </w:p>
    <w:tbl>
      <w:tblPr>
        <w:tblW w:w="0" w:type="auto"/>
        <w:jc w:val="center"/>
        <w:tblBorders>
          <w:top w:val="single" w:sz="8" w:space="0" w:color="auto"/>
          <w:bottom w:val="single" w:sz="8" w:space="0" w:color="auto"/>
        </w:tblBorders>
        <w:tblLook w:val="04A0" w:firstRow="1" w:lastRow="0" w:firstColumn="1" w:lastColumn="0" w:noHBand="0" w:noVBand="1"/>
      </w:tblPr>
      <w:tblGrid>
        <w:gridCol w:w="1985"/>
        <w:gridCol w:w="4237"/>
        <w:gridCol w:w="2047"/>
      </w:tblGrid>
      <w:tr w:rsidR="00CC159F" w:rsidRPr="002B31FD" w14:paraId="2B2D0C01" w14:textId="77777777" w:rsidTr="00CC159F">
        <w:trPr>
          <w:jc w:val="center"/>
        </w:trPr>
        <w:tc>
          <w:tcPr>
            <w:tcW w:w="1985" w:type="dxa"/>
            <w:tcBorders>
              <w:bottom w:val="single" w:sz="4" w:space="0" w:color="auto"/>
            </w:tcBorders>
            <w:shd w:val="clear" w:color="auto" w:fill="auto"/>
          </w:tcPr>
          <w:p w14:paraId="5521123A" w14:textId="52C32DA0" w:rsidR="00CC159F" w:rsidRPr="00CC159F" w:rsidRDefault="00CC159F" w:rsidP="00CC159F">
            <w:pPr>
              <w:pStyle w:val="Alishlah42tablebody"/>
              <w:rPr>
                <w:b/>
                <w:bCs/>
              </w:rPr>
            </w:pPr>
            <w:r w:rsidRPr="00CC159F">
              <w:rPr>
                <w:b/>
                <w:bCs/>
              </w:rPr>
              <w:t>Answer Highlight</w:t>
            </w:r>
          </w:p>
        </w:tc>
        <w:tc>
          <w:tcPr>
            <w:tcW w:w="4237" w:type="dxa"/>
            <w:tcBorders>
              <w:bottom w:val="single" w:sz="4" w:space="0" w:color="auto"/>
            </w:tcBorders>
            <w:shd w:val="clear" w:color="auto" w:fill="auto"/>
          </w:tcPr>
          <w:p w14:paraId="70C519A1" w14:textId="1575B03E" w:rsidR="00CC159F" w:rsidRPr="00CC159F" w:rsidRDefault="00CC159F" w:rsidP="00CC159F">
            <w:pPr>
              <w:pStyle w:val="Alishlah42tablebody"/>
              <w:rPr>
                <w:b/>
                <w:bCs/>
              </w:rPr>
            </w:pPr>
            <w:r w:rsidRPr="00CC159F">
              <w:rPr>
                <w:b/>
                <w:bCs/>
              </w:rPr>
              <w:t>Excerpt</w:t>
            </w:r>
          </w:p>
        </w:tc>
        <w:tc>
          <w:tcPr>
            <w:tcW w:w="2047" w:type="dxa"/>
            <w:tcBorders>
              <w:bottom w:val="single" w:sz="4" w:space="0" w:color="auto"/>
            </w:tcBorders>
            <w:shd w:val="clear" w:color="auto" w:fill="auto"/>
          </w:tcPr>
          <w:p w14:paraId="5475182B" w14:textId="4234E640" w:rsidR="00CC159F" w:rsidRPr="00CC159F" w:rsidRDefault="00CC159F" w:rsidP="00CC159F">
            <w:pPr>
              <w:pStyle w:val="Alishlah42tablebody"/>
              <w:rPr>
                <w:b/>
                <w:bCs/>
              </w:rPr>
            </w:pPr>
            <w:r w:rsidRPr="00CC159F">
              <w:rPr>
                <w:b/>
                <w:bCs/>
              </w:rPr>
              <w:t>Student Code</w:t>
            </w:r>
          </w:p>
        </w:tc>
      </w:tr>
      <w:tr w:rsidR="00CC159F" w:rsidRPr="001E7B17" w14:paraId="1AE14627" w14:textId="77777777" w:rsidTr="00CC159F">
        <w:trPr>
          <w:jc w:val="center"/>
        </w:trPr>
        <w:tc>
          <w:tcPr>
            <w:tcW w:w="1985" w:type="dxa"/>
            <w:shd w:val="clear" w:color="auto" w:fill="auto"/>
          </w:tcPr>
          <w:p w14:paraId="70B3277A" w14:textId="77777777" w:rsidR="00CC159F" w:rsidRPr="00CC159F" w:rsidRDefault="00CC159F" w:rsidP="00CC159F">
            <w:pPr>
              <w:pStyle w:val="Alishlah42tablebody"/>
              <w:jc w:val="left"/>
            </w:pPr>
            <w:r w:rsidRPr="00CC159F">
              <w:t>Critical Thinking</w:t>
            </w:r>
          </w:p>
        </w:tc>
        <w:tc>
          <w:tcPr>
            <w:tcW w:w="4237" w:type="dxa"/>
            <w:shd w:val="clear" w:color="auto" w:fill="auto"/>
          </w:tcPr>
          <w:p w14:paraId="23FE558E" w14:textId="77777777" w:rsidR="00CC159F" w:rsidRPr="00CC159F" w:rsidRDefault="00CC159F" w:rsidP="00CC159F">
            <w:pPr>
              <w:pStyle w:val="Alishlah42tablebody"/>
              <w:jc w:val="left"/>
            </w:pPr>
            <w:r w:rsidRPr="00CC159F">
              <w:t>In this project, we were required to think critically to solve existing problems.</w:t>
            </w:r>
          </w:p>
          <w:p w14:paraId="6F24E127" w14:textId="77777777" w:rsidR="00CC159F" w:rsidRPr="00CC159F" w:rsidRDefault="00CC159F" w:rsidP="00CC159F">
            <w:pPr>
              <w:pStyle w:val="Alishlah42tablebody"/>
              <w:jc w:val="left"/>
            </w:pPr>
          </w:p>
        </w:tc>
        <w:tc>
          <w:tcPr>
            <w:tcW w:w="2047" w:type="dxa"/>
            <w:shd w:val="clear" w:color="auto" w:fill="auto"/>
          </w:tcPr>
          <w:p w14:paraId="74DE9AB0" w14:textId="77777777" w:rsidR="00CC159F" w:rsidRPr="00CC159F" w:rsidRDefault="00CC159F" w:rsidP="00CC159F">
            <w:pPr>
              <w:pStyle w:val="Alishlah42tablebody"/>
            </w:pPr>
            <w:r w:rsidRPr="00CC159F">
              <w:t>16</w:t>
            </w:r>
          </w:p>
        </w:tc>
      </w:tr>
      <w:tr w:rsidR="00CC159F" w:rsidRPr="001E7B17" w14:paraId="777676AB" w14:textId="77777777" w:rsidTr="00CC159F">
        <w:trPr>
          <w:jc w:val="center"/>
        </w:trPr>
        <w:tc>
          <w:tcPr>
            <w:tcW w:w="1985" w:type="dxa"/>
            <w:shd w:val="clear" w:color="auto" w:fill="auto"/>
          </w:tcPr>
          <w:p w14:paraId="4F4D1584" w14:textId="77777777" w:rsidR="00CC159F" w:rsidRPr="00CC159F" w:rsidRDefault="00CC159F" w:rsidP="00CC159F">
            <w:pPr>
              <w:pStyle w:val="Alishlah42tablebody"/>
              <w:jc w:val="left"/>
            </w:pPr>
          </w:p>
        </w:tc>
        <w:tc>
          <w:tcPr>
            <w:tcW w:w="4237" w:type="dxa"/>
            <w:shd w:val="clear" w:color="auto" w:fill="auto"/>
          </w:tcPr>
          <w:p w14:paraId="5B3F5081" w14:textId="77777777" w:rsidR="00CC159F" w:rsidRPr="00CC159F" w:rsidRDefault="00CC159F" w:rsidP="00CC159F">
            <w:pPr>
              <w:pStyle w:val="Alishlah42tablebody"/>
              <w:jc w:val="left"/>
            </w:pPr>
            <w:r w:rsidRPr="00CC159F">
              <w:t>The role of STEM-EDP in our project was to train our skills in thinking critically about a problem, especially when measuring the turbidity level of water.</w:t>
            </w:r>
          </w:p>
          <w:p w14:paraId="27003FC1" w14:textId="77777777" w:rsidR="00CC159F" w:rsidRPr="00CC159F" w:rsidRDefault="00CC159F" w:rsidP="00CC159F">
            <w:pPr>
              <w:pStyle w:val="Alishlah42tablebody"/>
              <w:jc w:val="left"/>
            </w:pPr>
          </w:p>
        </w:tc>
        <w:tc>
          <w:tcPr>
            <w:tcW w:w="2047" w:type="dxa"/>
            <w:shd w:val="clear" w:color="auto" w:fill="auto"/>
          </w:tcPr>
          <w:p w14:paraId="4F9A8F40" w14:textId="77777777" w:rsidR="00CC159F" w:rsidRPr="00CC159F" w:rsidRDefault="00CC159F" w:rsidP="00CC159F">
            <w:pPr>
              <w:pStyle w:val="Alishlah42tablebody"/>
            </w:pPr>
            <w:r w:rsidRPr="00CC159F">
              <w:t>19</w:t>
            </w:r>
          </w:p>
        </w:tc>
      </w:tr>
      <w:tr w:rsidR="00CC159F" w:rsidRPr="001E7B17" w14:paraId="6FC8B350" w14:textId="77777777" w:rsidTr="00CC159F">
        <w:trPr>
          <w:jc w:val="center"/>
        </w:trPr>
        <w:tc>
          <w:tcPr>
            <w:tcW w:w="1985" w:type="dxa"/>
            <w:shd w:val="clear" w:color="auto" w:fill="auto"/>
          </w:tcPr>
          <w:p w14:paraId="16B377F5" w14:textId="77777777" w:rsidR="00CC159F" w:rsidRPr="00CC159F" w:rsidRDefault="00CC159F" w:rsidP="00CC159F">
            <w:pPr>
              <w:pStyle w:val="Alishlah42tablebody"/>
              <w:jc w:val="left"/>
            </w:pPr>
            <w:r w:rsidRPr="00CC159F">
              <w:t>Creative Thinking</w:t>
            </w:r>
          </w:p>
        </w:tc>
        <w:tc>
          <w:tcPr>
            <w:tcW w:w="4237" w:type="dxa"/>
            <w:shd w:val="clear" w:color="auto" w:fill="auto"/>
          </w:tcPr>
          <w:p w14:paraId="7E0DB2F7" w14:textId="77777777" w:rsidR="00CC159F" w:rsidRPr="00CC159F" w:rsidRDefault="00CC159F" w:rsidP="00CC159F">
            <w:pPr>
              <w:pStyle w:val="Alishlah42tablebody"/>
              <w:jc w:val="left"/>
            </w:pPr>
            <w:r w:rsidRPr="00CC159F">
              <w:t>Making these tools can encourage our way of thinking creatively and innovatively, where we can develop procedures independently or in groups, solve problems that occur in the process of making tools, and can also utilize surrounding materials to create useful tools.</w:t>
            </w:r>
          </w:p>
          <w:p w14:paraId="6E979A13" w14:textId="77777777" w:rsidR="00CC159F" w:rsidRPr="00CC159F" w:rsidRDefault="00CC159F" w:rsidP="00CC159F">
            <w:pPr>
              <w:pStyle w:val="Alishlah42tablebody"/>
              <w:jc w:val="left"/>
            </w:pPr>
          </w:p>
        </w:tc>
        <w:tc>
          <w:tcPr>
            <w:tcW w:w="2047" w:type="dxa"/>
            <w:shd w:val="clear" w:color="auto" w:fill="auto"/>
          </w:tcPr>
          <w:p w14:paraId="48FEBDEB" w14:textId="77777777" w:rsidR="00CC159F" w:rsidRPr="00CC159F" w:rsidRDefault="00CC159F" w:rsidP="00CC159F">
            <w:pPr>
              <w:pStyle w:val="Alishlah42tablebody"/>
            </w:pPr>
            <w:r w:rsidRPr="00CC159F">
              <w:t>6</w:t>
            </w:r>
          </w:p>
        </w:tc>
      </w:tr>
      <w:tr w:rsidR="00CC159F" w:rsidRPr="001E7B17" w14:paraId="0D35D229" w14:textId="77777777" w:rsidTr="00CC159F">
        <w:trPr>
          <w:jc w:val="center"/>
        </w:trPr>
        <w:tc>
          <w:tcPr>
            <w:tcW w:w="1985" w:type="dxa"/>
            <w:shd w:val="clear" w:color="auto" w:fill="auto"/>
          </w:tcPr>
          <w:p w14:paraId="01940731" w14:textId="77777777" w:rsidR="00CC159F" w:rsidRPr="00CC159F" w:rsidRDefault="00CC159F" w:rsidP="00CC159F">
            <w:pPr>
              <w:pStyle w:val="Alishlah42tablebody"/>
              <w:jc w:val="left"/>
            </w:pPr>
          </w:p>
        </w:tc>
        <w:tc>
          <w:tcPr>
            <w:tcW w:w="4237" w:type="dxa"/>
            <w:shd w:val="clear" w:color="auto" w:fill="auto"/>
          </w:tcPr>
          <w:p w14:paraId="26E4917C" w14:textId="77777777" w:rsidR="00CC159F" w:rsidRPr="00CC159F" w:rsidRDefault="00CC159F" w:rsidP="00CC159F">
            <w:pPr>
              <w:pStyle w:val="Alishlah42tablebody"/>
              <w:jc w:val="left"/>
            </w:pPr>
            <w:r w:rsidRPr="00CC159F">
              <w:t>With the STEM-EDP approach, we completed a water filter project with a creative way of thinking (…).</w:t>
            </w:r>
          </w:p>
          <w:p w14:paraId="29ADFBBF" w14:textId="77777777" w:rsidR="00CC159F" w:rsidRPr="00CC159F" w:rsidRDefault="00CC159F" w:rsidP="00CC159F">
            <w:pPr>
              <w:pStyle w:val="Alishlah42tablebody"/>
              <w:jc w:val="left"/>
            </w:pPr>
          </w:p>
        </w:tc>
        <w:tc>
          <w:tcPr>
            <w:tcW w:w="2047" w:type="dxa"/>
            <w:shd w:val="clear" w:color="auto" w:fill="auto"/>
          </w:tcPr>
          <w:p w14:paraId="129F881F" w14:textId="77777777" w:rsidR="00CC159F" w:rsidRPr="00CC159F" w:rsidRDefault="00CC159F" w:rsidP="00CC159F">
            <w:pPr>
              <w:pStyle w:val="Alishlah42tablebody"/>
            </w:pPr>
            <w:r w:rsidRPr="00CC159F">
              <w:t>7</w:t>
            </w:r>
          </w:p>
        </w:tc>
      </w:tr>
      <w:tr w:rsidR="00CC159F" w:rsidRPr="001E7B17" w14:paraId="3CF4DD5B" w14:textId="77777777" w:rsidTr="00CC159F">
        <w:trPr>
          <w:jc w:val="center"/>
        </w:trPr>
        <w:tc>
          <w:tcPr>
            <w:tcW w:w="1985" w:type="dxa"/>
            <w:shd w:val="clear" w:color="auto" w:fill="auto"/>
          </w:tcPr>
          <w:p w14:paraId="64CC3643" w14:textId="77777777" w:rsidR="00CC159F" w:rsidRPr="00CC159F" w:rsidRDefault="00CC159F" w:rsidP="00CC159F">
            <w:pPr>
              <w:pStyle w:val="Alishlah42tablebody"/>
              <w:jc w:val="left"/>
            </w:pPr>
            <w:r w:rsidRPr="00CC159F">
              <w:t>Collaboration</w:t>
            </w:r>
          </w:p>
        </w:tc>
        <w:tc>
          <w:tcPr>
            <w:tcW w:w="4237" w:type="dxa"/>
            <w:shd w:val="clear" w:color="auto" w:fill="auto"/>
          </w:tcPr>
          <w:p w14:paraId="094A95DA" w14:textId="77777777" w:rsidR="00CC159F" w:rsidRPr="00CC159F" w:rsidRDefault="00CC159F" w:rsidP="00CC159F">
            <w:pPr>
              <w:pStyle w:val="Alishlah42tablebody"/>
              <w:jc w:val="left"/>
            </w:pPr>
            <w:r w:rsidRPr="00CC159F">
              <w:t>STEM-EDP shapes learning experiences that are active in collaboration (…)</w:t>
            </w:r>
          </w:p>
        </w:tc>
        <w:tc>
          <w:tcPr>
            <w:tcW w:w="2047" w:type="dxa"/>
            <w:shd w:val="clear" w:color="auto" w:fill="auto"/>
          </w:tcPr>
          <w:p w14:paraId="0D637E67" w14:textId="77777777" w:rsidR="00CC159F" w:rsidRPr="00CC159F" w:rsidRDefault="00CC159F" w:rsidP="00CC159F">
            <w:pPr>
              <w:pStyle w:val="Alishlah42tablebody"/>
            </w:pPr>
            <w:r w:rsidRPr="00CC159F">
              <w:t>32</w:t>
            </w:r>
          </w:p>
        </w:tc>
      </w:tr>
      <w:tr w:rsidR="00CC159F" w:rsidRPr="001E7B17" w14:paraId="0A417D6C" w14:textId="77777777" w:rsidTr="00CC159F">
        <w:trPr>
          <w:jc w:val="center"/>
        </w:trPr>
        <w:tc>
          <w:tcPr>
            <w:tcW w:w="1985" w:type="dxa"/>
            <w:shd w:val="clear" w:color="auto" w:fill="auto"/>
          </w:tcPr>
          <w:p w14:paraId="18DCBEC8" w14:textId="77777777" w:rsidR="00CC159F" w:rsidRPr="00CC159F" w:rsidRDefault="00CC159F" w:rsidP="00CC159F">
            <w:pPr>
              <w:pStyle w:val="Alishlah42tablebody"/>
              <w:jc w:val="left"/>
            </w:pPr>
          </w:p>
        </w:tc>
        <w:tc>
          <w:tcPr>
            <w:tcW w:w="4237" w:type="dxa"/>
            <w:shd w:val="clear" w:color="auto" w:fill="auto"/>
          </w:tcPr>
          <w:p w14:paraId="678FC683" w14:textId="77777777" w:rsidR="00CC159F" w:rsidRPr="00CC159F" w:rsidRDefault="00CC159F" w:rsidP="00CC159F">
            <w:pPr>
              <w:pStyle w:val="Alishlah42tablebody"/>
              <w:jc w:val="left"/>
            </w:pPr>
            <w:r w:rsidRPr="00CC159F">
              <w:t>During the project, we worked together in groups to complete the project according to the determined specifications but at affordable prices.</w:t>
            </w:r>
          </w:p>
          <w:p w14:paraId="11BF70DA" w14:textId="77777777" w:rsidR="00CC159F" w:rsidRPr="00CC159F" w:rsidRDefault="00CC159F" w:rsidP="00CC159F">
            <w:pPr>
              <w:pStyle w:val="Alishlah42tablebody"/>
              <w:jc w:val="left"/>
            </w:pPr>
          </w:p>
        </w:tc>
        <w:tc>
          <w:tcPr>
            <w:tcW w:w="2047" w:type="dxa"/>
            <w:shd w:val="clear" w:color="auto" w:fill="auto"/>
          </w:tcPr>
          <w:p w14:paraId="785905D4" w14:textId="77777777" w:rsidR="00CC159F" w:rsidRPr="00CC159F" w:rsidRDefault="00CC159F" w:rsidP="00CC159F">
            <w:pPr>
              <w:pStyle w:val="Alishlah42tablebody"/>
            </w:pPr>
            <w:r w:rsidRPr="00CC159F">
              <w:t>35</w:t>
            </w:r>
          </w:p>
        </w:tc>
      </w:tr>
      <w:tr w:rsidR="00CC159F" w:rsidRPr="001E7B17" w14:paraId="745A0347" w14:textId="77777777" w:rsidTr="00CC159F">
        <w:trPr>
          <w:jc w:val="center"/>
        </w:trPr>
        <w:tc>
          <w:tcPr>
            <w:tcW w:w="1985" w:type="dxa"/>
            <w:shd w:val="clear" w:color="auto" w:fill="auto"/>
          </w:tcPr>
          <w:p w14:paraId="0D753ED3" w14:textId="77777777" w:rsidR="00CC159F" w:rsidRPr="00CC159F" w:rsidRDefault="00CC159F" w:rsidP="00CC159F">
            <w:pPr>
              <w:pStyle w:val="Alishlah42tablebody"/>
              <w:jc w:val="left"/>
            </w:pPr>
            <w:r w:rsidRPr="00CC159F">
              <w:t>Communication</w:t>
            </w:r>
          </w:p>
        </w:tc>
        <w:tc>
          <w:tcPr>
            <w:tcW w:w="4237" w:type="dxa"/>
            <w:shd w:val="clear" w:color="auto" w:fill="auto"/>
          </w:tcPr>
          <w:p w14:paraId="65F7ED08" w14:textId="77777777" w:rsidR="00CC159F" w:rsidRPr="00CC159F" w:rsidRDefault="00CC159F" w:rsidP="00CC159F">
            <w:pPr>
              <w:pStyle w:val="Alishlah42tablebody"/>
              <w:jc w:val="left"/>
            </w:pPr>
            <w:r w:rsidRPr="00CC159F">
              <w:t>STEM-EDP helped and trained us in solving problems, making decisions, and being able to communicate in groups (…).</w:t>
            </w:r>
          </w:p>
        </w:tc>
        <w:tc>
          <w:tcPr>
            <w:tcW w:w="2047" w:type="dxa"/>
            <w:shd w:val="clear" w:color="auto" w:fill="auto"/>
          </w:tcPr>
          <w:p w14:paraId="734D3793" w14:textId="77777777" w:rsidR="00CC159F" w:rsidRPr="00CC159F" w:rsidRDefault="00CC159F" w:rsidP="00CC159F">
            <w:pPr>
              <w:pStyle w:val="Alishlah42tablebody"/>
            </w:pPr>
            <w:r w:rsidRPr="00CC159F">
              <w:t>19</w:t>
            </w:r>
          </w:p>
        </w:tc>
      </w:tr>
      <w:tr w:rsidR="00CC159F" w:rsidRPr="001E7B17" w14:paraId="5DDE9CAD" w14:textId="77777777" w:rsidTr="00CC159F">
        <w:trPr>
          <w:jc w:val="center"/>
        </w:trPr>
        <w:tc>
          <w:tcPr>
            <w:tcW w:w="1985" w:type="dxa"/>
            <w:shd w:val="clear" w:color="auto" w:fill="auto"/>
          </w:tcPr>
          <w:p w14:paraId="3C3CA4D1" w14:textId="77777777" w:rsidR="00CC159F" w:rsidRPr="00CC159F" w:rsidRDefault="00CC159F" w:rsidP="00CC159F">
            <w:pPr>
              <w:pStyle w:val="Alishlah42tablebody"/>
              <w:jc w:val="left"/>
            </w:pPr>
          </w:p>
        </w:tc>
        <w:tc>
          <w:tcPr>
            <w:tcW w:w="4237" w:type="dxa"/>
            <w:shd w:val="clear" w:color="auto" w:fill="auto"/>
          </w:tcPr>
          <w:p w14:paraId="7D8BC0A9" w14:textId="77777777" w:rsidR="00CC159F" w:rsidRPr="00CC159F" w:rsidRDefault="00CC159F" w:rsidP="00CC159F">
            <w:pPr>
              <w:pStyle w:val="Alishlah42tablebody"/>
              <w:jc w:val="left"/>
            </w:pPr>
            <w:r w:rsidRPr="00CC159F">
              <w:t>This STEM-EDP approach can also form (…) communicative thinking attitudes.</w:t>
            </w:r>
          </w:p>
          <w:p w14:paraId="756B1252" w14:textId="77777777" w:rsidR="00CC159F" w:rsidRPr="00CC159F" w:rsidRDefault="00CC159F" w:rsidP="00CC159F">
            <w:pPr>
              <w:pStyle w:val="Alishlah42tablebody"/>
              <w:jc w:val="left"/>
            </w:pPr>
          </w:p>
        </w:tc>
        <w:tc>
          <w:tcPr>
            <w:tcW w:w="2047" w:type="dxa"/>
            <w:shd w:val="clear" w:color="auto" w:fill="auto"/>
          </w:tcPr>
          <w:p w14:paraId="27AAC89B" w14:textId="77777777" w:rsidR="00CC159F" w:rsidRPr="00CC159F" w:rsidRDefault="00CC159F" w:rsidP="00CC159F">
            <w:pPr>
              <w:pStyle w:val="Alishlah42tablebody"/>
            </w:pPr>
            <w:r w:rsidRPr="00CC159F">
              <w:t>11</w:t>
            </w:r>
          </w:p>
        </w:tc>
      </w:tr>
      <w:tr w:rsidR="00CC159F" w:rsidRPr="001E7B17" w14:paraId="16CA477B" w14:textId="77777777" w:rsidTr="00CC159F">
        <w:trPr>
          <w:jc w:val="center"/>
        </w:trPr>
        <w:tc>
          <w:tcPr>
            <w:tcW w:w="1985" w:type="dxa"/>
            <w:shd w:val="clear" w:color="auto" w:fill="auto"/>
          </w:tcPr>
          <w:p w14:paraId="402D85CB" w14:textId="77777777" w:rsidR="00CC159F" w:rsidRPr="00CC159F" w:rsidRDefault="00CC159F" w:rsidP="00CC159F">
            <w:pPr>
              <w:pStyle w:val="Alishlah42tablebody"/>
              <w:jc w:val="left"/>
            </w:pPr>
            <w:r w:rsidRPr="00CC159F">
              <w:t>STEM Integration</w:t>
            </w:r>
          </w:p>
        </w:tc>
        <w:tc>
          <w:tcPr>
            <w:tcW w:w="4237" w:type="dxa"/>
            <w:shd w:val="clear" w:color="auto" w:fill="auto"/>
          </w:tcPr>
          <w:p w14:paraId="2D729AA2" w14:textId="77777777" w:rsidR="00CC159F" w:rsidRPr="00CC159F" w:rsidRDefault="00CC159F" w:rsidP="00CC159F">
            <w:pPr>
              <w:pStyle w:val="Alishlah42tablebody"/>
              <w:jc w:val="left"/>
            </w:pPr>
            <w:r w:rsidRPr="00CC159F">
              <w:t>This STEM-EDP approach helped us in solving problems in designing turbidity measuring instruments and water filters because this approach interconnects and integrates STEM-EDP elements (…)</w:t>
            </w:r>
          </w:p>
          <w:p w14:paraId="20A3032F" w14:textId="77777777" w:rsidR="00CC159F" w:rsidRPr="00CC159F" w:rsidRDefault="00CC159F" w:rsidP="00CC159F">
            <w:pPr>
              <w:pStyle w:val="Alishlah42tablebody"/>
              <w:jc w:val="left"/>
            </w:pPr>
          </w:p>
        </w:tc>
        <w:tc>
          <w:tcPr>
            <w:tcW w:w="2047" w:type="dxa"/>
            <w:shd w:val="clear" w:color="auto" w:fill="auto"/>
          </w:tcPr>
          <w:p w14:paraId="28BDDCBF" w14:textId="77777777" w:rsidR="00CC159F" w:rsidRPr="00CC159F" w:rsidRDefault="00CC159F" w:rsidP="00CC159F">
            <w:pPr>
              <w:pStyle w:val="Alishlah42tablebody"/>
            </w:pPr>
            <w:r w:rsidRPr="00CC159F">
              <w:t>13</w:t>
            </w:r>
          </w:p>
        </w:tc>
      </w:tr>
      <w:tr w:rsidR="00CC159F" w:rsidRPr="001E7B17" w14:paraId="59E881FE" w14:textId="77777777" w:rsidTr="00CC159F">
        <w:trPr>
          <w:jc w:val="center"/>
        </w:trPr>
        <w:tc>
          <w:tcPr>
            <w:tcW w:w="1985" w:type="dxa"/>
            <w:shd w:val="clear" w:color="auto" w:fill="auto"/>
          </w:tcPr>
          <w:p w14:paraId="69250715" w14:textId="77777777" w:rsidR="00CC159F" w:rsidRPr="00CC159F" w:rsidRDefault="00CC159F" w:rsidP="00CC159F">
            <w:pPr>
              <w:pStyle w:val="Alishlah42tablebody"/>
              <w:jc w:val="left"/>
            </w:pPr>
          </w:p>
        </w:tc>
        <w:tc>
          <w:tcPr>
            <w:tcW w:w="4237" w:type="dxa"/>
            <w:shd w:val="clear" w:color="auto" w:fill="auto"/>
          </w:tcPr>
          <w:p w14:paraId="4C8DA2D2" w14:textId="77777777" w:rsidR="00CC159F" w:rsidRPr="00CC159F" w:rsidRDefault="00CC159F" w:rsidP="00CC159F">
            <w:pPr>
              <w:pStyle w:val="Alishlah42tablebody"/>
              <w:jc w:val="left"/>
            </w:pPr>
            <w:r w:rsidRPr="00CC159F">
              <w:t>The STEM-EDP approach helped us complete this project because it could direct us in searching for solutions used in our project through the integration of science, technology, engineering, and mathematics.</w:t>
            </w:r>
          </w:p>
          <w:p w14:paraId="70AC253B" w14:textId="77777777" w:rsidR="00CC159F" w:rsidRPr="00CC159F" w:rsidRDefault="00CC159F" w:rsidP="00CC159F">
            <w:pPr>
              <w:pStyle w:val="Alishlah42tablebody"/>
              <w:jc w:val="left"/>
            </w:pPr>
          </w:p>
        </w:tc>
        <w:tc>
          <w:tcPr>
            <w:tcW w:w="2047" w:type="dxa"/>
            <w:shd w:val="clear" w:color="auto" w:fill="auto"/>
          </w:tcPr>
          <w:p w14:paraId="171D4B90" w14:textId="77777777" w:rsidR="00CC159F" w:rsidRPr="00CC159F" w:rsidRDefault="00CC159F" w:rsidP="00CC159F">
            <w:pPr>
              <w:pStyle w:val="Alishlah42tablebody"/>
            </w:pPr>
            <w:r w:rsidRPr="00CC159F">
              <w:t>23</w:t>
            </w:r>
          </w:p>
        </w:tc>
      </w:tr>
      <w:tr w:rsidR="00CC159F" w:rsidRPr="001E7B17" w14:paraId="2A585C14" w14:textId="77777777" w:rsidTr="00CC159F">
        <w:trPr>
          <w:jc w:val="center"/>
        </w:trPr>
        <w:tc>
          <w:tcPr>
            <w:tcW w:w="1985" w:type="dxa"/>
            <w:tcBorders>
              <w:bottom w:val="single" w:sz="8" w:space="0" w:color="auto"/>
            </w:tcBorders>
            <w:shd w:val="clear" w:color="auto" w:fill="auto"/>
          </w:tcPr>
          <w:p w14:paraId="47CFCD55" w14:textId="77777777" w:rsidR="00CC159F" w:rsidRPr="00CC159F" w:rsidRDefault="00CC159F" w:rsidP="00CC159F">
            <w:pPr>
              <w:pStyle w:val="Alishlah42tablebody"/>
              <w:jc w:val="left"/>
            </w:pPr>
            <w:r w:rsidRPr="00CC159F">
              <w:lastRenderedPageBreak/>
              <w:t>Solving Real-Life Problems</w:t>
            </w:r>
          </w:p>
        </w:tc>
        <w:tc>
          <w:tcPr>
            <w:tcW w:w="4237" w:type="dxa"/>
            <w:tcBorders>
              <w:bottom w:val="single" w:sz="8" w:space="0" w:color="auto"/>
            </w:tcBorders>
            <w:shd w:val="clear" w:color="auto" w:fill="auto"/>
          </w:tcPr>
          <w:p w14:paraId="7E6FA091" w14:textId="64F8630D" w:rsidR="00CC159F" w:rsidRPr="00CC159F" w:rsidRDefault="00CC159F" w:rsidP="00CC159F">
            <w:pPr>
              <w:pStyle w:val="Alishlah42tablebody"/>
              <w:jc w:val="left"/>
            </w:pPr>
            <w:r w:rsidRPr="00CC159F">
              <w:t>The STEM-EDP approach in this project led us to know that simple tools around can help purify water (…). Through the STEM-EDP approach, we can also solve problems around our campus with environmentally friendly objects around us.</w:t>
            </w:r>
          </w:p>
        </w:tc>
        <w:tc>
          <w:tcPr>
            <w:tcW w:w="2047" w:type="dxa"/>
            <w:tcBorders>
              <w:bottom w:val="single" w:sz="8" w:space="0" w:color="auto"/>
            </w:tcBorders>
            <w:shd w:val="clear" w:color="auto" w:fill="auto"/>
          </w:tcPr>
          <w:p w14:paraId="1B6FC800" w14:textId="77777777" w:rsidR="00CC159F" w:rsidRPr="00CC159F" w:rsidRDefault="00CC159F" w:rsidP="00CC159F">
            <w:pPr>
              <w:pStyle w:val="Alishlah42tablebody"/>
            </w:pPr>
            <w:r w:rsidRPr="00CC159F">
              <w:t>7</w:t>
            </w:r>
          </w:p>
        </w:tc>
      </w:tr>
    </w:tbl>
    <w:p w14:paraId="7C047638" w14:textId="77777777" w:rsidR="00CC159F" w:rsidRDefault="00CC159F" w:rsidP="00CC159F">
      <w:pPr>
        <w:pStyle w:val="Alishlah31text"/>
        <w:ind w:firstLine="0"/>
        <w:rPr>
          <w:szCs w:val="20"/>
          <w:lang w:val="en-ID"/>
        </w:rPr>
      </w:pPr>
    </w:p>
    <w:p w14:paraId="79565FBB" w14:textId="77777777" w:rsidR="004D7CB7" w:rsidRPr="004D7CB7" w:rsidRDefault="004D7CB7" w:rsidP="004D7CB7">
      <w:pPr>
        <w:pStyle w:val="Alishlah31text"/>
        <w:rPr>
          <w:szCs w:val="20"/>
        </w:rPr>
      </w:pPr>
      <w:r w:rsidRPr="004D7CB7">
        <w:rPr>
          <w:szCs w:val="20"/>
        </w:rPr>
        <w:t>Critical thinking, creativity, collaboration, and communication skills are considered the 4Cs of the 21</w:t>
      </w:r>
      <w:r w:rsidRPr="004D7CB7">
        <w:rPr>
          <w:szCs w:val="20"/>
          <w:vertAlign w:val="superscript"/>
        </w:rPr>
        <w:t>st</w:t>
      </w:r>
      <w:r w:rsidRPr="004D7CB7">
        <w:rPr>
          <w:szCs w:val="20"/>
        </w:rPr>
        <w:t xml:space="preserve"> century, and these skills are needed in order to succeed in the modern work environment </w:t>
      </w:r>
      <w:r w:rsidRPr="004D7CB7">
        <w:rPr>
          <w:szCs w:val="20"/>
        </w:rPr>
        <w:fldChar w:fldCharType="begin" w:fldLock="1"/>
      </w:r>
      <w:r w:rsidRPr="004D7CB7">
        <w:rPr>
          <w:szCs w:val="20"/>
        </w:rPr>
        <w:instrText>ADDIN CSL_CITATION {"citationItems":[{"id":"ITEM-1","itemData":{"DOI":"10.3390/jintelligence11030054","ISSN":"2079-3200","abstract":"This article addresses educational challenges posed by the future of work, examining “21st century skills”, their conception, assessment, and valorization. It focuses in particular on key soft skill competencies known as the “4Cs”: creativity, critical thinking, collaboration, and communication. In a section on each C, we provide an overview of assessment at the level of individual performance, before focusing on the less common assessment of systemic support for the development of the 4Cs that can be measured at the institutional level (i.e., in schools, universities, professional training programs, etc.). We then present the process of official assessment and certification known as “labelization”, suggesting it as a solution both for establishing a publicly trusted assessment of the 4Cs and for promoting their cultural valorization. Next, two variations of the “International Institute for Competency Development’s 21st Century Skills Framework” are presented. The first of these comprehensive systems allows for the assessment and labelization of the extent to which development of the 4Cs is supported by a formal educational program or institution. The second assesses informal educational or training experiences, such as playing a game. We discuss the overlap between the 4Cs and the challenges of teaching and institutionalizing them, both of which may be assisted by adopting a dynamic interactionist model of the 4Cs—playfully entitled “Crea-Critical-Collab-ication”—for pedagogical and policy-promotion purposes. We conclude by briefly discussing opportunities presented by future research and new technologies such as artificial intelligence and virtual reality.","author":[{"dropping-particle":"","family":"Thornhill-Miller","given":"Branden","non-dropping-particle":"","parse-names":false,"suffix":""},{"dropping-particle":"","family":"Camarda","given":"Anaëlle","non-dropping-particle":"","parse-names":false,"suffix":""},{"dropping-particle":"","family":"Mercier","given":"Maxence","non-dropping-particle":"","parse-names":false,"suffix":""},{"dropping-particle":"","family":"Burkhardt","given":"Jean-Marie","non-dropping-particle":"","parse-names":false,"suffix":""},{"dropping-particle":"","family":"Morisseau","given":"Tiffany","non-dropping-particle":"","parse-names":false,"suffix":""},{"dropping-particle":"","family":"Bourgeois-Bougrine","given":"Samira","non-dropping-particle":"","parse-names":false,"suffix":""},{"dropping-particle":"","family":"Vinchon","given":"Florent","non-dropping-particle":"","parse-names":false,"suffix":""},{"dropping-particle":"","family":"Hayek","given":"Stephanie","non-dropping-particle":"El","parse-names":false,"suffix":""},{"dropping-particle":"","family":"Augereau-Landais","given":"Myriam","non-dropping-particle":"","parse-names":false,"suffix":""},{"dropping-particle":"","family":"Mourey","given":"Florence","non-dropping-particle":"","parse-names":false,"suffix":""},{"dropping-particle":"","family":"Feybesse","given":"Cyrille","non-dropping-particle":"","parse-names":false,"suffix":""},{"dropping-particle":"","family":"Sundquist","given":"Daniel","non-dropping-particle":"","parse-names":false,"suffix":""},{"dropping-particle":"","family":"Lubart","given":"Todd","non-dropping-particle":"","parse-names":false,"suffix":""}],"container-title":"Journal of Intelligence","id":"ITEM-1","issue":"3","issued":{"date-parts":[["2023","3","15"]]},"page":"54","title":"Creativity, critical thinking, communication, and collaboration: Assessment, certification, and promotion of 21st century kills for the future of work and education","type":"article-journal","volume":"11"},"uris":["http://www.mendeley.com/documents/?uuid=5a176d19-21de-47c0-8972-9c8e502cb754"]}],"mendeley":{"formattedCitation":"(Thornhill-Miller et al., 2023)","plainTextFormattedCitation":"(Thornhill-Miller et al., 2023)","previouslyFormattedCitation":"(Thornhill-Miller et al., 2023)"},"properties":{"noteIndex":0},"schema":"https://github.com/citation-style-language/schema/raw/master/csl-citation.json"}</w:instrText>
      </w:r>
      <w:r w:rsidRPr="004D7CB7">
        <w:rPr>
          <w:szCs w:val="20"/>
        </w:rPr>
        <w:fldChar w:fldCharType="separate"/>
      </w:r>
      <w:r w:rsidRPr="004D7CB7">
        <w:rPr>
          <w:noProof/>
          <w:szCs w:val="20"/>
        </w:rPr>
        <w:t>(Thornhill-Miller et al., 2023)</w:t>
      </w:r>
      <w:r w:rsidRPr="004D7CB7">
        <w:rPr>
          <w:szCs w:val="20"/>
        </w:rPr>
        <w:fldChar w:fldCharType="end"/>
      </w:r>
      <w:r w:rsidRPr="004D7CB7">
        <w:rPr>
          <w:szCs w:val="20"/>
        </w:rPr>
        <w:t>. Based on the answer highlighted in Table 1, the 4Cs skills were developed in pre-service teachers in the STEM-EDP-based project, which ultimately assisted them in successfully completing the project. As demonstrated in a previous study, STEM education was found to be beneficial to the development of 21</w:t>
      </w:r>
      <w:r w:rsidRPr="004D7CB7">
        <w:rPr>
          <w:szCs w:val="20"/>
          <w:vertAlign w:val="superscript"/>
        </w:rPr>
        <w:t>st</w:t>
      </w:r>
      <w:r w:rsidRPr="004D7CB7">
        <w:rPr>
          <w:szCs w:val="20"/>
        </w:rPr>
        <w:t xml:space="preserve">-century skills among pre-service science teachers </w:t>
      </w:r>
      <w:r w:rsidRPr="004D7CB7">
        <w:rPr>
          <w:szCs w:val="20"/>
        </w:rPr>
        <w:fldChar w:fldCharType="begin" w:fldLock="1"/>
      </w:r>
      <w:r w:rsidRPr="004D7CB7">
        <w:rPr>
          <w:szCs w:val="20"/>
        </w:rPr>
        <w:instrText>ADDIN CSL_CITATION {"citationItems":[{"id":"ITEM-1","itemData":{"abstract":"The aim of this study is to examine the opinions of the teachers, who participated in STEM education, about the contribution of this education to the development of their 21st century skills. Purposeful sampling was used in this qualitative study, which was conducted as a phenomenology study. In this study, 24 pre-service science teachers for 14 weeks trained STEM activities. The data of the research was collected with a questionnaire with open-ended questions and by conducting semi-structured interviews with a preservice science teacher from each group and analyzed contently and descriptively in terms of 21st century learning environments. Preservice science teachers declared that STEM education developed their learning and innovation skills. Finally, it was ascertained that the STEM education provided to the development of the 21st century skills of preservice science teachers.","author":[{"dropping-particle":"","family":"Hacıoğlu","given":"Y. (2021)","non-dropping-particle":"","parse-names":false,"suffix":""}],"container-title":"Journal of STEAM Education","id":"ITEM-1","issue":"2","issued":{"date-parts":[["2021"]]},"page":"140-167","title":"The effect of STEM education on 21st century skills: Preservice science teachers’ evaluations","type":"article-journal","volume":"4"},"uris":["http://www.mendeley.com/documents/?uuid=c3941a94-3361-4c83-850e-4a9e6ca6bb17"]}],"mendeley":{"formattedCitation":"(Hacıoğlu, 2021)","plainTextFormattedCitation":"(Hacıoğlu, 2021)","previouslyFormattedCitation":"(Hacıoğlu, 2021)"},"properties":{"noteIndex":0},"schema":"https://github.com/citation-style-language/schema/raw/master/csl-citation.json"}</w:instrText>
      </w:r>
      <w:r w:rsidRPr="004D7CB7">
        <w:rPr>
          <w:szCs w:val="20"/>
        </w:rPr>
        <w:fldChar w:fldCharType="separate"/>
      </w:r>
      <w:r w:rsidRPr="004D7CB7">
        <w:rPr>
          <w:noProof/>
          <w:szCs w:val="20"/>
        </w:rPr>
        <w:t>(Hacıoğlu, 2021)</w:t>
      </w:r>
      <w:r w:rsidRPr="004D7CB7">
        <w:rPr>
          <w:szCs w:val="20"/>
        </w:rPr>
        <w:fldChar w:fldCharType="end"/>
      </w:r>
      <w:r w:rsidRPr="004D7CB7">
        <w:rPr>
          <w:szCs w:val="20"/>
        </w:rPr>
        <w:t>.</w:t>
      </w:r>
    </w:p>
    <w:p w14:paraId="2430DF6D" w14:textId="16526B0B" w:rsidR="005B5AEC" w:rsidRPr="00CC159F" w:rsidRDefault="004D7CB7" w:rsidP="00CC159F">
      <w:pPr>
        <w:pStyle w:val="Alishlah31text"/>
        <w:rPr>
          <w:szCs w:val="20"/>
        </w:rPr>
      </w:pPr>
      <w:r w:rsidRPr="004D7CB7">
        <w:rPr>
          <w:szCs w:val="20"/>
          <w:lang w:val="en-ID"/>
        </w:rPr>
        <w:t xml:space="preserve">Besides the development of 4Cs skills, pre-service teachers also highlight the integration of STEM components, such as students 13 and 23. They felt that STEM guided them in finding solutions to the project problems through the integration of science, technology, engineering, and mathematics. A significant benefit of this integration is that pre-service teachers have the opportunity to make sense of an integrated world rather than learning and practicing fragmentary concepts </w:t>
      </w:r>
      <w:r w:rsidRPr="004D7CB7">
        <w:rPr>
          <w:szCs w:val="20"/>
          <w:lang w:val="en-ID"/>
        </w:rPr>
        <w:fldChar w:fldCharType="begin" w:fldLock="1"/>
      </w:r>
      <w:r w:rsidRPr="004D7CB7">
        <w:rPr>
          <w:szCs w:val="20"/>
          <w:lang w:val="en-ID"/>
        </w:rPr>
        <w:instrText>ADDIN CSL_CITATION {"citationItems":[{"id":"ITEM-1","itemData":{"DOI":"10.1186/s40594-016-0036-1","ISSN":"2196-7822","author":[{"dropping-particle":"","family":"English","given":"Lyn D.","non-dropping-particle":"","parse-names":false,"suffix":""}],"container-title":"International Journal of STEM Education","id":"ITEM-1","issue":"1","issued":{"date-parts":[["2016","12","1"]]},"page":"3","title":"STEM education K-12: perspectives on integration","type":"article-journal","volume":"3"},"uris":["http://www.mendeley.com/documents/?uuid=1e993ace-26f3-47c7-9e36-3326b850b3c0"]}],"mendeley":{"formattedCitation":"(English, 2016)","plainTextFormattedCitation":"(English, 2016)","previouslyFormattedCitation":"(English, 2016)"},"properties":{"noteIndex":0},"schema":"https://github.com/citation-style-language/schema/raw/master/csl-citation.json"}</w:instrText>
      </w:r>
      <w:r w:rsidRPr="004D7CB7">
        <w:rPr>
          <w:szCs w:val="20"/>
          <w:lang w:val="en-ID"/>
        </w:rPr>
        <w:fldChar w:fldCharType="separate"/>
      </w:r>
      <w:r w:rsidRPr="004D7CB7">
        <w:rPr>
          <w:noProof/>
          <w:szCs w:val="20"/>
          <w:lang w:val="en-ID"/>
        </w:rPr>
        <w:t>(English, 2016)</w:t>
      </w:r>
      <w:r w:rsidRPr="004D7CB7">
        <w:rPr>
          <w:szCs w:val="20"/>
        </w:rPr>
        <w:fldChar w:fldCharType="end"/>
      </w:r>
      <w:r w:rsidRPr="004D7CB7">
        <w:rPr>
          <w:szCs w:val="20"/>
          <w:lang w:val="en-ID"/>
        </w:rPr>
        <w:t xml:space="preserve">. Furthermore, students 7 and 13 pointed out that STEM-EDP helped them complete the project because the problems offered related to problems in their real life. Pre-service teachers were exposed to real-world scenarios in STEM in order to demonstrate how they can apply their subject matter to their daily life. Using contextual problems as a means of learning motivates pre-service teachers to connect knowledge to application in the real world </w:t>
      </w:r>
      <w:r w:rsidRPr="004D7CB7">
        <w:rPr>
          <w:szCs w:val="20"/>
          <w:lang w:val="en-ID"/>
        </w:rPr>
        <w:fldChar w:fldCharType="begin" w:fldLock="1"/>
      </w:r>
      <w:r w:rsidRPr="004D7CB7">
        <w:rPr>
          <w:szCs w:val="20"/>
          <w:lang w:val="en-ID"/>
        </w:rPr>
        <w:instrText>ADDIN CSL_CITATION {"citationItems":[{"id":"ITEM-1","itemData":{"DOI":"10.29303/jppipa.v6i2.425","ISSN":"2407-795X","abstract":"One of the fundamental problems for students is the low motivation to learn. The reason is the learning approach used by lecturers in the classroom is less attractive. Therefore this study about the use of contextual approaches based on e-learning to help student motivation. This type of research is quantitative research, with descriptive statistical analysis and inferential statistics to describe motivation data for learning simple harmonic wave material Students of Physics Education Study Program at University of Flores use a contextual approach based on e-learning. Data collection techniques used in this study were non-test techniques. From the results of descriptive analysis shows that the average student learning motivation is 78.90 in the sufficient category. While the results of inferential statistics show the t value of 5.453, sig (2-tailed) 0.000. Because the sig (2-tailed) value of 0,000 is smaller than 0.05, this shows that the contextual approach based on e-learning (Zoom Cloud Meeting) influences student learning motivation","author":[{"dropping-particle":"","family":"Ilyas","given":"Ilyas","non-dropping-particle":"","parse-names":false,"suffix":""},{"dropping-particle":"","family":"Liu","given":"An Nisaa Al Mumin","non-dropping-particle":"","parse-names":false,"suffix":""}],"container-title":"Jurnal Penelitian Pendidikan IPA","id":"ITEM-1","issue":"2","issued":{"date-parts":[["2020","6","29"]]},"page":"184-189","title":"The effect of based e-learning contextual approach on student learning motivation","type":"article-journal","volume":"6"},"uris":["http://www.mendeley.com/documents/?uuid=27f45291-43ef-45ae-bab9-835caf97e19f"]}],"mendeley":{"formattedCitation":"(Ilyas &amp; Liu, 2020)","plainTextFormattedCitation":"(Ilyas &amp; Liu, 2020)","previouslyFormattedCitation":"(Ilyas &amp; Liu, 2020)"},"properties":{"noteIndex":0},"schema":"https://github.com/citation-style-language/schema/raw/master/csl-citation.json"}</w:instrText>
      </w:r>
      <w:r w:rsidRPr="004D7CB7">
        <w:rPr>
          <w:szCs w:val="20"/>
          <w:lang w:val="en-ID"/>
        </w:rPr>
        <w:fldChar w:fldCharType="separate"/>
      </w:r>
      <w:r w:rsidRPr="004D7CB7">
        <w:rPr>
          <w:noProof/>
          <w:szCs w:val="20"/>
          <w:lang w:val="en-ID"/>
        </w:rPr>
        <w:t>(Ilyas &amp; Liu, 2020)</w:t>
      </w:r>
      <w:r w:rsidRPr="004D7CB7">
        <w:rPr>
          <w:szCs w:val="20"/>
        </w:rPr>
        <w:fldChar w:fldCharType="end"/>
      </w:r>
      <w:r w:rsidRPr="004D7CB7">
        <w:rPr>
          <w:szCs w:val="20"/>
          <w:lang w:val="en-ID"/>
        </w:rPr>
        <w:t>. By providing this type of lesson, students will gain a greater appreciation for what they are learning and feel more invested in their project.</w:t>
      </w:r>
    </w:p>
    <w:p w14:paraId="01F81F8F" w14:textId="77777777" w:rsidR="005B5AEC" w:rsidRPr="00723B12" w:rsidRDefault="005B5AEC" w:rsidP="002A02C2">
      <w:pPr>
        <w:pStyle w:val="Alishlah21heading1"/>
        <w:rPr>
          <w:rFonts w:eastAsia="Arial"/>
        </w:rPr>
      </w:pPr>
      <w:r w:rsidRPr="00723B12">
        <w:rPr>
          <w:rFonts w:eastAsia="Arial"/>
        </w:rPr>
        <w:t xml:space="preserve">CONCLUSION </w:t>
      </w:r>
    </w:p>
    <w:p w14:paraId="26DF64F4" w14:textId="7FF7DBDA" w:rsidR="002B31FD" w:rsidRDefault="00CC159F" w:rsidP="00727D5A">
      <w:pPr>
        <w:pStyle w:val="Alishlah31text"/>
      </w:pPr>
      <w:r w:rsidRPr="00CC159F">
        <w:rPr>
          <w:lang w:val="en-ID"/>
        </w:rPr>
        <w:t>The exploration of pre-service physics teachers' perceptions of how STEM-EDP helps students to complete projects on water turbidity problems was done in this study. Based on the analysis, pre-service physics teachers felt that the STEM-EDP helped them to solve the water turbidity issues presented in the project worksheet. STEM-EDP promotes the use of higher-order thinking, which involves problem-solving and critical thinking skills among pre-service teachers. It appears from the pre-service teachers' answers that they realized the importance of integrating STEM elements during project completion. Participants indicated that STEM-EDP provided them with opportunities to think critically and creatively, collaborate in groups and communicate effectively, solve their actual problems, and use STEM components to propose solutions to water turbidity problems. By engaging in this STEM hands-on activity, pre-service physics teachers can learn how to design meaningful learning activities for their future students.</w:t>
      </w:r>
    </w:p>
    <w:p w14:paraId="63309A5D" w14:textId="0C9DF4D9" w:rsidR="002B31FD" w:rsidRPr="00234749" w:rsidRDefault="002B31FD" w:rsidP="002B31FD">
      <w:pPr>
        <w:pStyle w:val="Alishlah62Acknowledgments"/>
      </w:pPr>
      <w:r>
        <w:rPr>
          <w:b/>
        </w:rPr>
        <w:t>Acknowledgments:</w:t>
      </w:r>
      <w:r w:rsidRPr="00234749">
        <w:t xml:space="preserve"> </w:t>
      </w:r>
      <w:r w:rsidR="00CC159F" w:rsidRPr="00CC159F">
        <w:t>The authors express their gratitude to the support of the Ministry of Education, Culture, Research, and Technology, the Republic of Indonesia, for providing funding for this study.</w:t>
      </w:r>
    </w:p>
    <w:p w14:paraId="5A9EDBB1" w14:textId="06CCB9FF" w:rsidR="002B31FD" w:rsidRDefault="002B31FD" w:rsidP="002B31FD">
      <w:pPr>
        <w:pStyle w:val="Alishlah62Acknowledgments"/>
        <w:rPr>
          <w:rFonts w:eastAsia="Arial"/>
        </w:rPr>
      </w:pPr>
      <w:r w:rsidRPr="004841C5">
        <w:rPr>
          <w:b/>
        </w:rPr>
        <w:t>Conflicts of Interest:</w:t>
      </w:r>
      <w:r w:rsidRPr="004841C5">
        <w:t xml:space="preserve"> The authors declare no conflict of interest.</w:t>
      </w:r>
    </w:p>
    <w:p w14:paraId="1B5F0373" w14:textId="77777777" w:rsidR="005B5AEC" w:rsidRDefault="005B5AEC" w:rsidP="002A02C2">
      <w:pPr>
        <w:pStyle w:val="Alishlah21heading1"/>
        <w:numPr>
          <w:ilvl w:val="0"/>
          <w:numId w:val="0"/>
        </w:numPr>
        <w:rPr>
          <w:rFonts w:eastAsia="Arial"/>
        </w:rPr>
      </w:pPr>
      <w:r w:rsidRPr="00723B12">
        <w:rPr>
          <w:rFonts w:eastAsia="Arial"/>
        </w:rPr>
        <w:t>REFERENCES</w:t>
      </w:r>
    </w:p>
    <w:p w14:paraId="7D2E1EA4" w14:textId="4A0BFD33"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fldChar w:fldCharType="begin" w:fldLock="1"/>
      </w:r>
      <w:r>
        <w:instrText xml:space="preserve">ADDIN Mendeley Bibliography CSL_BIBLIOGRAPHY </w:instrText>
      </w:r>
      <w:r>
        <w:fldChar w:fldCharType="separate"/>
      </w:r>
      <w:r w:rsidRPr="00CC159F">
        <w:rPr>
          <w:rFonts w:ascii="Palatino Linotype" w:hAnsi="Palatino Linotype" w:cs="Times New Roman"/>
          <w:noProof/>
          <w:sz w:val="20"/>
        </w:rPr>
        <w:t xml:space="preserve">Azis, A., Yusuf, H., Faisal, Z., &amp; Suradi, M. (2015). Water turbidity impact on discharge decrease of groundwater recharge in recharge reservoir. </w:t>
      </w:r>
      <w:r w:rsidRPr="00CC159F">
        <w:rPr>
          <w:rFonts w:ascii="Palatino Linotype" w:hAnsi="Palatino Linotype" w:cs="Times New Roman"/>
          <w:i/>
          <w:iCs/>
          <w:noProof/>
          <w:sz w:val="20"/>
        </w:rPr>
        <w:t>Procedia Engineering</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125</w:t>
      </w:r>
      <w:r w:rsidRPr="00CC159F">
        <w:rPr>
          <w:rFonts w:ascii="Palatino Linotype" w:hAnsi="Palatino Linotype" w:cs="Times New Roman"/>
          <w:noProof/>
          <w:sz w:val="20"/>
        </w:rPr>
        <w:t>, 199–206. https://doi.org/10.1016/j.proeng.2015.11.029</w:t>
      </w:r>
    </w:p>
    <w:p w14:paraId="6D5A72CF"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Carfagni, M., Fiorineschi, L., Furferi, R., Governi, L., &amp; Rotini, F. (2020). Usefulness of prototypes in conceptual design: students’ view. </w:t>
      </w:r>
      <w:r w:rsidRPr="00CC159F">
        <w:rPr>
          <w:rFonts w:ascii="Palatino Linotype" w:hAnsi="Palatino Linotype" w:cs="Times New Roman"/>
          <w:i/>
          <w:iCs/>
          <w:noProof/>
          <w:sz w:val="20"/>
        </w:rPr>
        <w:t>International Journal on Interactive Design and Manufacturing (IJIDeM)</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14</w:t>
      </w:r>
      <w:r w:rsidRPr="00CC159F">
        <w:rPr>
          <w:rFonts w:ascii="Palatino Linotype" w:hAnsi="Palatino Linotype" w:cs="Times New Roman"/>
          <w:noProof/>
          <w:sz w:val="20"/>
        </w:rPr>
        <w:t>(4), 1305–1319. https://doi.org/10.1007/s12008-020-00697-2</w:t>
      </w:r>
    </w:p>
    <w:p w14:paraId="41F36B81"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Chang, T.-S., Wang, H.-C., Haynes, A. M., Song, M.-M., Lai, S.-Y., &amp; Hsieh, S.-H. (2022). Enhancing </w:t>
      </w:r>
      <w:r w:rsidRPr="00CC159F">
        <w:rPr>
          <w:rFonts w:ascii="Palatino Linotype" w:hAnsi="Palatino Linotype" w:cs="Times New Roman"/>
          <w:noProof/>
          <w:sz w:val="20"/>
        </w:rPr>
        <w:lastRenderedPageBreak/>
        <w:t xml:space="preserve">student creativity through an interdisciplinary, project-oriented problem-based learning undergraduate curriculum. </w:t>
      </w:r>
      <w:r w:rsidRPr="00CC159F">
        <w:rPr>
          <w:rFonts w:ascii="Palatino Linotype" w:hAnsi="Palatino Linotype" w:cs="Times New Roman"/>
          <w:i/>
          <w:iCs/>
          <w:noProof/>
          <w:sz w:val="20"/>
        </w:rPr>
        <w:t>Thinking Skills and Creativity</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46</w:t>
      </w:r>
      <w:r w:rsidRPr="00CC159F">
        <w:rPr>
          <w:rFonts w:ascii="Palatino Linotype" w:hAnsi="Palatino Linotype" w:cs="Times New Roman"/>
          <w:noProof/>
          <w:sz w:val="20"/>
        </w:rPr>
        <w:t>, 101173. https://doi.org/10.1016/j.tsc.2022.101173</w:t>
      </w:r>
    </w:p>
    <w:p w14:paraId="32701AE4"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DePaolo, C. A., &amp; Wilkinson, K. (2014). Get your head into the clouds: Using word clouds for analyzing qualitative assessment data. </w:t>
      </w:r>
      <w:r w:rsidRPr="00CC159F">
        <w:rPr>
          <w:rFonts w:ascii="Palatino Linotype" w:hAnsi="Palatino Linotype" w:cs="Times New Roman"/>
          <w:i/>
          <w:iCs/>
          <w:noProof/>
          <w:sz w:val="20"/>
        </w:rPr>
        <w:t>TechTrends</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58</w:t>
      </w:r>
      <w:r w:rsidRPr="00CC159F">
        <w:rPr>
          <w:rFonts w:ascii="Palatino Linotype" w:hAnsi="Palatino Linotype" w:cs="Times New Roman"/>
          <w:noProof/>
          <w:sz w:val="20"/>
        </w:rPr>
        <w:t>(3), 38–44. https://doi.org/10.1007/s11528-014-0750-9</w:t>
      </w:r>
    </w:p>
    <w:p w14:paraId="11C46D4E"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English, L. D. (2016). STEM education K-12: perspectives on integration. </w:t>
      </w:r>
      <w:r w:rsidRPr="00CC159F">
        <w:rPr>
          <w:rFonts w:ascii="Palatino Linotype" w:hAnsi="Palatino Linotype" w:cs="Times New Roman"/>
          <w:i/>
          <w:iCs/>
          <w:noProof/>
          <w:sz w:val="20"/>
        </w:rPr>
        <w:t>International Journal of STEM Education</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3</w:t>
      </w:r>
      <w:r w:rsidRPr="00CC159F">
        <w:rPr>
          <w:rFonts w:ascii="Palatino Linotype" w:hAnsi="Palatino Linotype" w:cs="Times New Roman"/>
          <w:noProof/>
          <w:sz w:val="20"/>
        </w:rPr>
        <w:t>(1), 3. https://doi.org/10.1186/s40594-016-0036-1</w:t>
      </w:r>
    </w:p>
    <w:p w14:paraId="37A1FFF6"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Hacıoğlu, Y. (2021). (2021). The effect of STEM education on 21st century skills: Preservice science teachers’ evaluations. </w:t>
      </w:r>
      <w:r w:rsidRPr="00CC159F">
        <w:rPr>
          <w:rFonts w:ascii="Palatino Linotype" w:hAnsi="Palatino Linotype" w:cs="Times New Roman"/>
          <w:i/>
          <w:iCs/>
          <w:noProof/>
          <w:sz w:val="20"/>
        </w:rPr>
        <w:t>Journal of STEAM Education</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4</w:t>
      </w:r>
      <w:r w:rsidRPr="00CC159F">
        <w:rPr>
          <w:rFonts w:ascii="Palatino Linotype" w:hAnsi="Palatino Linotype" w:cs="Times New Roman"/>
          <w:noProof/>
          <w:sz w:val="20"/>
        </w:rPr>
        <w:t>(2), 140–167. Retrieved from https://dergipark.org.tr/tr/download/article-file/1693716</w:t>
      </w:r>
    </w:p>
    <w:p w14:paraId="5CE543CD"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Ibrahim, D. S., &amp; Rashid, A. M. (2022). Effect of project-based learning towards collaboration among students in the design and technology subject. </w:t>
      </w:r>
      <w:r w:rsidRPr="00CC159F">
        <w:rPr>
          <w:rFonts w:ascii="Palatino Linotype" w:hAnsi="Palatino Linotype" w:cs="Times New Roman"/>
          <w:i/>
          <w:iCs/>
          <w:noProof/>
          <w:sz w:val="20"/>
        </w:rPr>
        <w:t>World Journal of Education</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12</w:t>
      </w:r>
      <w:r w:rsidRPr="00CC159F">
        <w:rPr>
          <w:rFonts w:ascii="Palatino Linotype" w:hAnsi="Palatino Linotype" w:cs="Times New Roman"/>
          <w:noProof/>
          <w:sz w:val="20"/>
        </w:rPr>
        <w:t>(3), 1. https://doi.org/10.5430/wje.v12n3p1</w:t>
      </w:r>
    </w:p>
    <w:p w14:paraId="6266FB98"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Ilyas, I., &amp; Liu, A. N. A. M. (2020). The effect of based e-learning contextual approach on student learning motivation. </w:t>
      </w:r>
      <w:r w:rsidRPr="00CC159F">
        <w:rPr>
          <w:rFonts w:ascii="Palatino Linotype" w:hAnsi="Palatino Linotype" w:cs="Times New Roman"/>
          <w:i/>
          <w:iCs/>
          <w:noProof/>
          <w:sz w:val="20"/>
        </w:rPr>
        <w:t>Jurnal Penelitian Pendidikan IPA</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6</w:t>
      </w:r>
      <w:r w:rsidRPr="00CC159F">
        <w:rPr>
          <w:rFonts w:ascii="Palatino Linotype" w:hAnsi="Palatino Linotype" w:cs="Times New Roman"/>
          <w:noProof/>
          <w:sz w:val="20"/>
        </w:rPr>
        <w:t>(2), 184–189. https://doi.org/10.29303/jppipa.v6i2.425</w:t>
      </w:r>
    </w:p>
    <w:p w14:paraId="23CED42E"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Lamoste, L. D., Lagunzad, C. G. B., &amp; Distor, J. O. P. (2020). apabilities of augmented reality in teaching and learning: Students ’perception. </w:t>
      </w:r>
      <w:r w:rsidRPr="00CC159F">
        <w:rPr>
          <w:rFonts w:ascii="Palatino Linotype" w:hAnsi="Palatino Linotype" w:cs="Times New Roman"/>
          <w:i/>
          <w:iCs/>
          <w:noProof/>
          <w:sz w:val="20"/>
        </w:rPr>
        <w:t>APCoRE Journal Proceeding</w:t>
      </w:r>
      <w:r w:rsidRPr="00CC159F">
        <w:rPr>
          <w:rFonts w:ascii="Palatino Linotype" w:hAnsi="Palatino Linotype" w:cs="Times New Roman"/>
          <w:noProof/>
          <w:sz w:val="20"/>
        </w:rPr>
        <w:t>, (May), 114–119. Pasay City, Philippines: Asia Pasific Consosrtium of Researchers and Educators, Inc. Retrieved from https://www.apcore-inc.org/apcore-journal-of-proceedings</w:t>
      </w:r>
    </w:p>
    <w:p w14:paraId="50AEBA02"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Margot, K. C., &amp; Kettler, T. (2019). Teachers’ perception of STEM integration and education: A systematic literature review. </w:t>
      </w:r>
      <w:r w:rsidRPr="00CC159F">
        <w:rPr>
          <w:rFonts w:ascii="Palatino Linotype" w:hAnsi="Palatino Linotype" w:cs="Times New Roman"/>
          <w:i/>
          <w:iCs/>
          <w:noProof/>
          <w:sz w:val="20"/>
        </w:rPr>
        <w:t>International Journal of STEM Education</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6</w:t>
      </w:r>
      <w:r w:rsidRPr="00CC159F">
        <w:rPr>
          <w:rFonts w:ascii="Palatino Linotype" w:hAnsi="Palatino Linotype" w:cs="Times New Roman"/>
          <w:noProof/>
          <w:sz w:val="20"/>
        </w:rPr>
        <w:t>(2). https://doi.org/10.1186/s40594-018-0151-2</w:t>
      </w:r>
    </w:p>
    <w:p w14:paraId="5A22BBA3"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Nurtanto, M., Pardjono, P., Widarto, W., &amp; Ramdani, S. D. (2020). The effect of STEM-EDP in professional learning on automotive engineering competence in vocational high school. </w:t>
      </w:r>
      <w:r w:rsidRPr="00CC159F">
        <w:rPr>
          <w:rFonts w:ascii="Palatino Linotype" w:hAnsi="Palatino Linotype" w:cs="Times New Roman"/>
          <w:i/>
          <w:iCs/>
          <w:noProof/>
          <w:sz w:val="20"/>
        </w:rPr>
        <w:t>Journal for the Education of Gifted Young Scientists</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8</w:t>
      </w:r>
      <w:r w:rsidRPr="00CC159F">
        <w:rPr>
          <w:rFonts w:ascii="Palatino Linotype" w:hAnsi="Palatino Linotype" w:cs="Times New Roman"/>
          <w:noProof/>
          <w:sz w:val="20"/>
        </w:rPr>
        <w:t>(2), 633–649. https://doi.org/10.17478/jegys.645047</w:t>
      </w:r>
    </w:p>
    <w:p w14:paraId="01853F0D"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Nuryadin, A., Sulaeman, N., Subagiyo, L., Sholeh, M., &amp; Andrianto, E. (2023). Developing worksheets using engineering design process to promote sustainable development goals for pre-service physics teacher. </w:t>
      </w:r>
      <w:r w:rsidRPr="00CC159F">
        <w:rPr>
          <w:rFonts w:ascii="Palatino Linotype" w:hAnsi="Palatino Linotype" w:cs="Times New Roman"/>
          <w:i/>
          <w:iCs/>
          <w:noProof/>
          <w:sz w:val="20"/>
        </w:rPr>
        <w:t>Jurnal Ilmiah Pendidikan Fisika</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7</w:t>
      </w:r>
      <w:r w:rsidRPr="00CC159F">
        <w:rPr>
          <w:rFonts w:ascii="Palatino Linotype" w:hAnsi="Palatino Linotype" w:cs="Times New Roman"/>
          <w:noProof/>
          <w:sz w:val="20"/>
        </w:rPr>
        <w:t>(1), 183. https://doi.org/10.20527/jipf.v7i1.7775</w:t>
      </w:r>
    </w:p>
    <w:p w14:paraId="6FD0793C"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Oyewo, O. A., Ramaila, S., &amp; Mavuru, L. (2022). Harnessing project-based learning to enhance STEM students’ critical thinking skills using water treatment activity. </w:t>
      </w:r>
      <w:r w:rsidRPr="00CC159F">
        <w:rPr>
          <w:rFonts w:ascii="Palatino Linotype" w:hAnsi="Palatino Linotype" w:cs="Times New Roman"/>
          <w:i/>
          <w:iCs/>
          <w:noProof/>
          <w:sz w:val="20"/>
        </w:rPr>
        <w:t>Education Sciences</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12</w:t>
      </w:r>
      <w:r w:rsidRPr="00CC159F">
        <w:rPr>
          <w:rFonts w:ascii="Palatino Linotype" w:hAnsi="Palatino Linotype" w:cs="Times New Roman"/>
          <w:noProof/>
          <w:sz w:val="20"/>
        </w:rPr>
        <w:t>(11), 780. https://doi.org/10.3390/educsci12110780</w:t>
      </w:r>
    </w:p>
    <w:p w14:paraId="2BC7F6C0"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Retnowati, R., Istiana, R., &amp; Nadiroh, N. (2020). Developing project-based learning related to local wisdom in improving students’ problem-solving skills. </w:t>
      </w:r>
      <w:r w:rsidRPr="00CC159F">
        <w:rPr>
          <w:rFonts w:ascii="Palatino Linotype" w:hAnsi="Palatino Linotype" w:cs="Times New Roman"/>
          <w:i/>
          <w:iCs/>
          <w:noProof/>
          <w:sz w:val="20"/>
        </w:rPr>
        <w:t>JETL (Journal of Education, Teaching and Learning)</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5</w:t>
      </w:r>
      <w:r w:rsidRPr="00CC159F">
        <w:rPr>
          <w:rFonts w:ascii="Palatino Linotype" w:hAnsi="Palatino Linotype" w:cs="Times New Roman"/>
          <w:noProof/>
          <w:sz w:val="20"/>
        </w:rPr>
        <w:t>(1), 137. https://doi.org/10.26737/jetl.v5i1.1035</w:t>
      </w:r>
    </w:p>
    <w:p w14:paraId="3151DDD2"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Roslina, Samsudin, A., &amp; Liliawati, W. (2022). Effectiveness of project based learning integrated STEM in physics education (STEM-PjBL). </w:t>
      </w:r>
      <w:r w:rsidRPr="00CC159F">
        <w:rPr>
          <w:rFonts w:ascii="Palatino Linotype" w:hAnsi="Palatino Linotype" w:cs="Times New Roman"/>
          <w:i/>
          <w:iCs/>
          <w:noProof/>
          <w:sz w:val="20"/>
        </w:rPr>
        <w:t>Phenomenon</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12</w:t>
      </w:r>
      <w:r w:rsidRPr="00CC159F">
        <w:rPr>
          <w:rFonts w:ascii="Palatino Linotype" w:hAnsi="Palatino Linotype" w:cs="Times New Roman"/>
          <w:noProof/>
          <w:sz w:val="20"/>
        </w:rPr>
        <w:t>(1), 120–139.</w:t>
      </w:r>
    </w:p>
    <w:p w14:paraId="2CB7925D"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Siew, N. M. (2017). Integrating STEM in an engineering design process: The learning experience. </w:t>
      </w:r>
      <w:r w:rsidRPr="00CC159F">
        <w:rPr>
          <w:rFonts w:ascii="Palatino Linotype" w:hAnsi="Palatino Linotype" w:cs="Times New Roman"/>
          <w:i/>
          <w:iCs/>
          <w:noProof/>
          <w:sz w:val="20"/>
        </w:rPr>
        <w:t>The Eurasia Proceedings of Educational &amp; Social Sciences (EPESS)</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6</w:t>
      </w:r>
      <w:r w:rsidRPr="00CC159F">
        <w:rPr>
          <w:rFonts w:ascii="Palatino Linotype" w:hAnsi="Palatino Linotype" w:cs="Times New Roman"/>
          <w:noProof/>
          <w:sz w:val="20"/>
        </w:rPr>
        <w:t>(4), 128–141. Retrieved from http://library.uprm.edu:2404/ehost/detail/detail?vid=4&amp;sid=2263ee5a-20f2-4b8c-af4e-6a8f58b789e9@sessionmgr101&amp;hid=126&amp;bdata=JnNpdGU9ZWhvc3QtbGl2ZSZzY29wZT1zaXRl#AN=118132072&amp;db=a9h</w:t>
      </w:r>
    </w:p>
    <w:p w14:paraId="1976C1CB"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Subagiyo, L., Nuryadin, A., Sulaeman, N. F., &amp; Widyastuti, R. (2019). Water quality status of Kalimantan water bodies based on the pollution index. </w:t>
      </w:r>
      <w:r w:rsidRPr="00CC159F">
        <w:rPr>
          <w:rFonts w:ascii="Palatino Linotype" w:hAnsi="Palatino Linotype" w:cs="Times New Roman"/>
          <w:i/>
          <w:iCs/>
          <w:noProof/>
          <w:sz w:val="20"/>
        </w:rPr>
        <w:t>Pollution Research</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38</w:t>
      </w:r>
      <w:r w:rsidRPr="00CC159F">
        <w:rPr>
          <w:rFonts w:ascii="Palatino Linotype" w:hAnsi="Palatino Linotype" w:cs="Times New Roman"/>
          <w:noProof/>
          <w:sz w:val="20"/>
        </w:rPr>
        <w:t>(3), 536–543.</w:t>
      </w:r>
    </w:p>
    <w:p w14:paraId="7BF55193"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Sulaeman, N., Efwinda, S., &amp; Putra, P. D. A. (2022). Teacher readiness in STEM education: Voices of Indonesian physics teachers. </w:t>
      </w:r>
      <w:r w:rsidRPr="00CC159F">
        <w:rPr>
          <w:rFonts w:ascii="Palatino Linotype" w:hAnsi="Palatino Linotype" w:cs="Times New Roman"/>
          <w:i/>
          <w:iCs/>
          <w:noProof/>
          <w:sz w:val="20"/>
        </w:rPr>
        <w:t>Journal of Technology and Science Education</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12</w:t>
      </w:r>
      <w:r w:rsidRPr="00CC159F">
        <w:rPr>
          <w:rFonts w:ascii="Palatino Linotype" w:hAnsi="Palatino Linotype" w:cs="Times New Roman"/>
          <w:noProof/>
          <w:sz w:val="20"/>
        </w:rPr>
        <w:t>(1), 68. https://doi.org/10.3926/jotse.1191</w:t>
      </w:r>
    </w:p>
    <w:p w14:paraId="0D476386"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Thornhill-Miller, B., Camarda, A., Mercier, M., Burkhardt, J.-M., Morisseau, T., Bourgeois-Bougrine, S., … Lubart, T. (2023). Creativity, critical thinking, communication, and collaboration: Assessment, certification, and promotion of 21st century kills for the future of work and education. </w:t>
      </w:r>
      <w:r w:rsidRPr="00CC159F">
        <w:rPr>
          <w:rFonts w:ascii="Palatino Linotype" w:hAnsi="Palatino Linotype" w:cs="Times New Roman"/>
          <w:i/>
          <w:iCs/>
          <w:noProof/>
          <w:sz w:val="20"/>
        </w:rPr>
        <w:t xml:space="preserve">Journal of </w:t>
      </w:r>
      <w:r w:rsidRPr="00CC159F">
        <w:rPr>
          <w:rFonts w:ascii="Palatino Linotype" w:hAnsi="Palatino Linotype" w:cs="Times New Roman"/>
          <w:i/>
          <w:iCs/>
          <w:noProof/>
          <w:sz w:val="20"/>
        </w:rPr>
        <w:lastRenderedPageBreak/>
        <w:t>Intelligence</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11</w:t>
      </w:r>
      <w:r w:rsidRPr="00CC159F">
        <w:rPr>
          <w:rFonts w:ascii="Palatino Linotype" w:hAnsi="Palatino Linotype" w:cs="Times New Roman"/>
          <w:noProof/>
          <w:sz w:val="20"/>
        </w:rPr>
        <w:t>(3), 54. https://doi.org/10.3390/jintelligence11030054</w:t>
      </w:r>
    </w:p>
    <w:p w14:paraId="06C1CD8C"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Tussyadiah, I. P. (2016). Strategic self-presentation in the sharing economy: Implications for host branding. </w:t>
      </w:r>
      <w:r w:rsidRPr="00CC159F">
        <w:rPr>
          <w:rFonts w:ascii="Palatino Linotype" w:hAnsi="Palatino Linotype" w:cs="Times New Roman"/>
          <w:i/>
          <w:iCs/>
          <w:noProof/>
          <w:sz w:val="20"/>
        </w:rPr>
        <w:t>Information and Communication Technologies in Tourism 2016</w:t>
      </w:r>
      <w:r w:rsidRPr="00CC159F">
        <w:rPr>
          <w:rFonts w:ascii="Palatino Linotype" w:hAnsi="Palatino Linotype" w:cs="Times New Roman"/>
          <w:noProof/>
          <w:sz w:val="20"/>
        </w:rPr>
        <w:t>, (January 2016), 695–708. Cham: Springer International Publishing. https://doi.org/10.1007/978-3-319-28231-2_50</w:t>
      </w:r>
    </w:p>
    <w:p w14:paraId="53F71A5F"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cs="Times New Roman"/>
          <w:noProof/>
          <w:sz w:val="20"/>
        </w:rPr>
      </w:pPr>
      <w:r w:rsidRPr="00CC159F">
        <w:rPr>
          <w:rFonts w:ascii="Palatino Linotype" w:hAnsi="Palatino Linotype" w:cs="Times New Roman"/>
          <w:noProof/>
          <w:sz w:val="20"/>
        </w:rPr>
        <w:t xml:space="preserve">Valdev Singh, R. K., &amp; Shaari, A. H. (2019). The analysis of higher-order thinking skills in english reading comprehension tests in Malaysia. </w:t>
      </w:r>
      <w:r w:rsidRPr="00CC159F">
        <w:rPr>
          <w:rFonts w:ascii="Palatino Linotype" w:hAnsi="Palatino Linotype" w:cs="Times New Roman"/>
          <w:i/>
          <w:iCs/>
          <w:noProof/>
          <w:sz w:val="20"/>
        </w:rPr>
        <w:t>Malaysian Journal of Society and Space</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15</w:t>
      </w:r>
      <w:r w:rsidRPr="00CC159F">
        <w:rPr>
          <w:rFonts w:ascii="Palatino Linotype" w:hAnsi="Palatino Linotype" w:cs="Times New Roman"/>
          <w:noProof/>
          <w:sz w:val="20"/>
        </w:rPr>
        <w:t>(1), 12–26. https://doi.org/10.17576/geo-2019-1501-02</w:t>
      </w:r>
    </w:p>
    <w:p w14:paraId="49BB964A" w14:textId="77777777" w:rsidR="00CC159F" w:rsidRPr="00CC159F" w:rsidRDefault="00CC159F" w:rsidP="00CC159F">
      <w:pPr>
        <w:widowControl w:val="0"/>
        <w:autoSpaceDE w:val="0"/>
        <w:autoSpaceDN w:val="0"/>
        <w:adjustRightInd w:val="0"/>
        <w:spacing w:after="0" w:line="240" w:lineRule="atLeast"/>
        <w:ind w:left="480" w:hanging="480"/>
        <w:jc w:val="both"/>
        <w:rPr>
          <w:rFonts w:ascii="Palatino Linotype" w:hAnsi="Palatino Linotype"/>
          <w:noProof/>
          <w:sz w:val="20"/>
        </w:rPr>
      </w:pPr>
      <w:r w:rsidRPr="00CC159F">
        <w:rPr>
          <w:rFonts w:ascii="Palatino Linotype" w:hAnsi="Palatino Linotype" w:cs="Times New Roman"/>
          <w:noProof/>
          <w:sz w:val="20"/>
        </w:rPr>
        <w:t xml:space="preserve">Yen, T. P., &amp; Rohasliney, H. (2013). Status of water quality subject to sand mining in the Kelantan River, Kelantan. </w:t>
      </w:r>
      <w:r w:rsidRPr="00CC159F">
        <w:rPr>
          <w:rFonts w:ascii="Palatino Linotype" w:hAnsi="Palatino Linotype" w:cs="Times New Roman"/>
          <w:i/>
          <w:iCs/>
          <w:noProof/>
          <w:sz w:val="20"/>
        </w:rPr>
        <w:t>Tropical Life Sciences Research</w:t>
      </w:r>
      <w:r w:rsidRPr="00CC159F">
        <w:rPr>
          <w:rFonts w:ascii="Palatino Linotype" w:hAnsi="Palatino Linotype" w:cs="Times New Roman"/>
          <w:noProof/>
          <w:sz w:val="20"/>
        </w:rPr>
        <w:t xml:space="preserve">, </w:t>
      </w:r>
      <w:r w:rsidRPr="00CC159F">
        <w:rPr>
          <w:rFonts w:ascii="Palatino Linotype" w:hAnsi="Palatino Linotype" w:cs="Times New Roman"/>
          <w:i/>
          <w:iCs/>
          <w:noProof/>
          <w:sz w:val="20"/>
        </w:rPr>
        <w:t>24</w:t>
      </w:r>
      <w:r w:rsidRPr="00CC159F">
        <w:rPr>
          <w:rFonts w:ascii="Palatino Linotype" w:hAnsi="Palatino Linotype" w:cs="Times New Roman"/>
          <w:noProof/>
          <w:sz w:val="20"/>
        </w:rPr>
        <w:t>(1), 19–34.</w:t>
      </w:r>
    </w:p>
    <w:p w14:paraId="5E2D16AF" w14:textId="1DF2DB6E" w:rsidR="00143989" w:rsidRPr="00723B12" w:rsidRDefault="00CC159F" w:rsidP="00CC159F">
      <w:pPr>
        <w:pStyle w:val="Alishlah71References"/>
        <w:ind w:left="0" w:firstLine="0"/>
      </w:pPr>
      <w:r>
        <w:fldChar w:fldCharType="end"/>
      </w:r>
    </w:p>
    <w:sectPr w:rsidR="00143989" w:rsidRPr="00723B12" w:rsidSect="001914CF">
      <w:headerReference w:type="default" r:id="rId12"/>
      <w:footerReference w:type="default" r:id="rId13"/>
      <w:headerReference w:type="first" r:id="rId14"/>
      <w:footerReference w:type="first" r:id="rId1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C7EF8" w14:textId="77777777" w:rsidR="00BE7AE4" w:rsidRDefault="00BE7AE4" w:rsidP="008E64A2">
      <w:pPr>
        <w:spacing w:after="0" w:line="240" w:lineRule="auto"/>
      </w:pPr>
      <w:r>
        <w:separator/>
      </w:r>
    </w:p>
    <w:p w14:paraId="02BF9B55" w14:textId="77777777" w:rsidR="00BE7AE4" w:rsidRDefault="00BE7AE4"/>
  </w:endnote>
  <w:endnote w:type="continuationSeparator" w:id="0">
    <w:p w14:paraId="7BBB4488" w14:textId="77777777" w:rsidR="00BE7AE4" w:rsidRDefault="00BE7AE4" w:rsidP="008E64A2">
      <w:pPr>
        <w:spacing w:after="0" w:line="240" w:lineRule="auto"/>
      </w:pPr>
      <w:r>
        <w:continuationSeparator/>
      </w:r>
    </w:p>
    <w:p w14:paraId="5A411E24" w14:textId="77777777" w:rsidR="00BE7AE4" w:rsidRDefault="00BE7A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2ED38"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3BEC7"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8C7ACA" w14:textId="77777777" w:rsidR="00BE7AE4" w:rsidRDefault="00BE7AE4" w:rsidP="008E64A2">
      <w:pPr>
        <w:spacing w:after="0" w:line="240" w:lineRule="auto"/>
      </w:pPr>
      <w:r>
        <w:separator/>
      </w:r>
    </w:p>
    <w:p w14:paraId="154F8AB3" w14:textId="77777777" w:rsidR="00BE7AE4" w:rsidRDefault="00BE7AE4"/>
  </w:footnote>
  <w:footnote w:type="continuationSeparator" w:id="0">
    <w:p w14:paraId="43D72A74" w14:textId="77777777" w:rsidR="00BE7AE4" w:rsidRDefault="00BE7AE4" w:rsidP="008E64A2">
      <w:pPr>
        <w:spacing w:after="0" w:line="240" w:lineRule="auto"/>
      </w:pPr>
      <w:r>
        <w:continuationSeparator/>
      </w:r>
    </w:p>
    <w:p w14:paraId="30847EA8" w14:textId="77777777" w:rsidR="00BE7AE4" w:rsidRDefault="00BE7A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A21FB"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361F7134" wp14:editId="6F46B1BA">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C9455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Al-Ishlah: Jurnal Pendidikan</w:t>
    </w:r>
    <w:r>
      <w:rPr>
        <w:rFonts w:ascii="Palatino Linotype" w:hAnsi="Palatino Linotype"/>
        <w:i/>
        <w:sz w:val="16"/>
      </w:rPr>
      <w:t>,Vol.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2406694F" w14:textId="77777777" w:rsidR="002D3351" w:rsidRDefault="002D33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F23E9" w14:textId="77777777" w:rsidR="001C18FA" w:rsidRPr="00A021B8" w:rsidRDefault="001C18FA" w:rsidP="0048254D">
    <w:pPr>
      <w:pStyle w:val="Header"/>
      <w:ind w:right="45"/>
      <w:rPr>
        <w:rFonts w:ascii="Palatino Linotype" w:hAnsi="Palatino Linotype"/>
        <w:b/>
        <w:sz w:val="20"/>
        <w:lang w:val="nl-BE"/>
      </w:rPr>
    </w:pPr>
    <w:bookmarkStart w:id="1" w:name="_Hlk97159129"/>
    <w:r w:rsidRPr="00A021B8">
      <w:rPr>
        <w:rFonts w:ascii="Palatino Linotype" w:hAnsi="Palatino Linotype"/>
        <w:b/>
        <w:sz w:val="20"/>
        <w:lang w:val="nl-BE"/>
      </w:rPr>
      <w:t>Al-Ishlah: Jurnal Pendidikan</w:t>
    </w:r>
  </w:p>
  <w:p w14:paraId="658146CF" w14:textId="77777777" w:rsidR="001C18FA" w:rsidRPr="00A021B8" w:rsidRDefault="001C18FA" w:rsidP="0048254D">
    <w:pPr>
      <w:tabs>
        <w:tab w:val="left" w:pos="3675"/>
      </w:tabs>
      <w:spacing w:after="0" w:line="240" w:lineRule="auto"/>
      <w:ind w:right="45"/>
      <w:rPr>
        <w:rFonts w:ascii="Palatino Linotype" w:eastAsia="Times New Roman" w:hAnsi="Palatino Linotype" w:cs="Times New Roman"/>
        <w:sz w:val="18"/>
        <w:szCs w:val="18"/>
        <w:lang w:val="nl-BE"/>
      </w:rPr>
    </w:pPr>
    <w:r w:rsidRPr="00A021B8">
      <w:rPr>
        <w:rFonts w:ascii="Palatino Linotype" w:eastAsia="Times New Roman" w:hAnsi="Palatino Linotype" w:cs="Times New Roman"/>
        <w:sz w:val="18"/>
        <w:szCs w:val="18"/>
        <w:lang w:val="nl-BE"/>
      </w:rPr>
      <w:t xml:space="preserve">Vol.14, 1 (April, 2022), pp. </w:t>
    </w:r>
    <w:r w:rsidR="001914CF" w:rsidRPr="00A021B8">
      <w:rPr>
        <w:rFonts w:ascii="Palatino Linotype" w:eastAsia="Times New Roman" w:hAnsi="Palatino Linotype" w:cs="Times New Roman"/>
        <w:sz w:val="18"/>
        <w:szCs w:val="18"/>
        <w:lang w:val="nl-BE"/>
      </w:rPr>
      <w:t>61-70</w:t>
    </w:r>
  </w:p>
  <w:p w14:paraId="2B8650A4"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061D249C" wp14:editId="271227D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F5968D"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72260936">
    <w:abstractNumId w:val="9"/>
  </w:num>
  <w:num w:numId="2" w16cid:durableId="907348178">
    <w:abstractNumId w:val="10"/>
  </w:num>
  <w:num w:numId="3" w16cid:durableId="2123454869">
    <w:abstractNumId w:val="6"/>
  </w:num>
  <w:num w:numId="4" w16cid:durableId="452334974">
    <w:abstractNumId w:val="5"/>
  </w:num>
  <w:num w:numId="5" w16cid:durableId="1119421543">
    <w:abstractNumId w:val="13"/>
  </w:num>
  <w:num w:numId="6" w16cid:durableId="144201189">
    <w:abstractNumId w:val="16"/>
  </w:num>
  <w:num w:numId="7" w16cid:durableId="1097868042">
    <w:abstractNumId w:val="1"/>
  </w:num>
  <w:num w:numId="8" w16cid:durableId="1309048070">
    <w:abstractNumId w:val="15"/>
  </w:num>
  <w:num w:numId="9" w16cid:durableId="447554029">
    <w:abstractNumId w:val="8"/>
  </w:num>
  <w:num w:numId="10" w16cid:durableId="1972127573">
    <w:abstractNumId w:val="14"/>
  </w:num>
  <w:num w:numId="11" w16cid:durableId="870727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957277">
    <w:abstractNumId w:val="17"/>
  </w:num>
  <w:num w:numId="13" w16cid:durableId="1367753334">
    <w:abstractNumId w:val="2"/>
  </w:num>
  <w:num w:numId="14" w16cid:durableId="1279413055">
    <w:abstractNumId w:val="11"/>
  </w:num>
  <w:num w:numId="15" w16cid:durableId="175576824">
    <w:abstractNumId w:val="12"/>
  </w:num>
  <w:num w:numId="16" w16cid:durableId="573396385">
    <w:abstractNumId w:val="0"/>
  </w:num>
  <w:num w:numId="17" w16cid:durableId="1509951259">
    <w:abstractNumId w:val="4"/>
  </w:num>
  <w:num w:numId="18" w16cid:durableId="185572480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A021B8"/>
    <w:rsid w:val="000061CE"/>
    <w:rsid w:val="00031DD5"/>
    <w:rsid w:val="000333AC"/>
    <w:rsid w:val="000355EA"/>
    <w:rsid w:val="00035C67"/>
    <w:rsid w:val="00056E9C"/>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2D3351"/>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D7CB7"/>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1B8"/>
    <w:rsid w:val="00A02BB2"/>
    <w:rsid w:val="00A10E86"/>
    <w:rsid w:val="00A234A4"/>
    <w:rsid w:val="00A36F58"/>
    <w:rsid w:val="00A414CC"/>
    <w:rsid w:val="00A448B5"/>
    <w:rsid w:val="00A54BE9"/>
    <w:rsid w:val="00A66748"/>
    <w:rsid w:val="00A75CB1"/>
    <w:rsid w:val="00A80097"/>
    <w:rsid w:val="00A9144B"/>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E7AE4"/>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159F"/>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5C27"/>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A7925"/>
  <w15:chartTrackingRefBased/>
  <w15:docId w15:val="{FA8C1FC4-CA91-45E7-B5EE-4D8A7540E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BodyTextIndent2">
    <w:name w:val="Body Text Indent 2"/>
    <w:basedOn w:val="Normal"/>
    <w:link w:val="BodyTextIndent2Char"/>
    <w:rsid w:val="00A021B8"/>
    <w:pPr>
      <w:spacing w:after="120" w:line="480" w:lineRule="auto"/>
      <w:ind w:left="360"/>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rsid w:val="00A021B8"/>
    <w:rPr>
      <w:rFonts w:ascii="Times New Roman" w:eastAsia="Times New Roman" w:hAnsi="Times New Roman" w:cs="Times New Roman"/>
      <w:sz w:val="20"/>
      <w:szCs w:val="20"/>
      <w:lang w:val="en-US"/>
    </w:rPr>
  </w:style>
  <w:style w:type="paragraph" w:customStyle="1" w:styleId="JRPMBody">
    <w:name w:val="JRPM_Body"/>
    <w:basedOn w:val="Normal"/>
    <w:qFormat/>
    <w:rsid w:val="00A021B8"/>
    <w:pPr>
      <w:spacing w:after="0" w:line="240" w:lineRule="auto"/>
      <w:ind w:firstLine="567"/>
      <w:jc w:val="both"/>
    </w:pPr>
    <w:rPr>
      <w:rFonts w:ascii="Times New Roman" w:eastAsia="Times New Roman" w:hAnsi="Times New Roman" w:cs="Times New Roman"/>
      <w:szCs w:val="24"/>
      <w:lang w:val="id-ID"/>
    </w:rPr>
  </w:style>
  <w:style w:type="paragraph" w:customStyle="1" w:styleId="JRPMHeading1">
    <w:name w:val="JRPM_Heading 1"/>
    <w:basedOn w:val="Normal"/>
    <w:qFormat/>
    <w:rsid w:val="004D7CB7"/>
    <w:pPr>
      <w:spacing w:before="120" w:after="120" w:line="240" w:lineRule="auto"/>
    </w:pPr>
    <w:rPr>
      <w:rFonts w:ascii="Times New Roman" w:eastAsia="Times New Roman" w:hAnsi="Times New Roman" w:cs="Times New Roman"/>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inn\Downloads\Template-202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 (1).dotx</Template>
  <TotalTime>41</TotalTime>
  <Pages>9</Pages>
  <Words>10308</Words>
  <Characters>62880</Characters>
  <Application>Microsoft Office Word</Application>
  <DocSecurity>0</DocSecurity>
  <Lines>1084</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1</cp:revision>
  <cp:lastPrinted>2022-03-12T14:54:00Z</cp:lastPrinted>
  <dcterms:created xsi:type="dcterms:W3CDTF">2024-11-10T05:31:00Z</dcterms:created>
  <dcterms:modified xsi:type="dcterms:W3CDTF">2024-11-10T06:19:00Z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http://www.zotero.org/styles/aip-advances</vt:lpwstr>
  </property>
  <property fmtid="{D5CDD505-2E9C-101B-9397-08002B2CF9AE}" pid="3" name="Mendeley Recent Style Name 0_1">
    <vt:lpwstr>AIP Advances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http://www.zotero.org/styles/apa-5th-edition</vt:lpwstr>
  </property>
  <property fmtid="{D5CDD505-2E9C-101B-9397-08002B2CF9AE}" pid="7" name="Mendeley Recent Style Name 2_1">
    <vt:lpwstr>American Psychological Association 5th edition</vt:lpwstr>
  </property>
  <property fmtid="{D5CDD505-2E9C-101B-9397-08002B2CF9AE}" pid="8" name="Mendeley Recent Style Id 3_1">
    <vt:lpwstr>http://www.zotero.org/styles/apa-6th-edition</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http://www.zotero.org/styles/pakistan-journal-of-medical-research</vt:lpwstr>
  </property>
  <property fmtid="{D5CDD505-2E9C-101B-9397-08002B2CF9AE}" pid="17" name="Mendeley Recent Style Name 7_1">
    <vt:lpwstr>Pakistan Journal of Medical Research</vt:lpwstr>
  </property>
  <property fmtid="{D5CDD505-2E9C-101B-9397-08002B2CF9AE}" pid="18" name="Mendeley Recent Style Id 8_1">
    <vt:lpwstr>http://www.zotero.org/styles/university-of-york-apa</vt:lpwstr>
  </property>
  <property fmtid="{D5CDD505-2E9C-101B-9397-08002B2CF9AE}" pid="19" name="Mendeley Recent Style Name 8_1">
    <vt:lpwstr>University of York - APA 6th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2538bc02-3f5e-35e4-824a-3d700bca0b42</vt:lpwstr>
  </property>
  <property fmtid="{D5CDD505-2E9C-101B-9397-08002B2CF9AE}" pid="24" name="Mendeley Citation Style_1">
    <vt:lpwstr>http://www.zotero.org/styles/apa-6th-edition</vt:lpwstr>
  </property>
  <property fmtid="{D5CDD505-2E9C-101B-9397-08002B2CF9AE}" pid="25" name="GrammarlyDocumentId">
    <vt:lpwstr>1d8b76fc-0a4f-4349-b4a0-58f41e0a4c9a</vt:lpwstr>
  </property>
</Properties>
</file>