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10A19" w14:textId="05180005" w:rsidR="008E64A2" w:rsidRPr="00A75CB1" w:rsidRDefault="00D341E5" w:rsidP="00727D5A">
      <w:pPr>
        <w:pStyle w:val="Alishlah12title"/>
      </w:pPr>
      <w:r w:rsidRPr="00D341E5">
        <w:t>GeoGebra-Assisted Geometry: A Systematic Literature Review</w:t>
      </w:r>
    </w:p>
    <w:p w14:paraId="668D2C4F" w14:textId="236A543A" w:rsidR="00BE398A" w:rsidRPr="007E6AA6" w:rsidRDefault="00926893" w:rsidP="002C57D4">
      <w:pPr>
        <w:pStyle w:val="Alishlah13authornames"/>
        <w:rPr>
          <w:vertAlign w:val="superscript"/>
          <w:lang w:val="en-GB"/>
        </w:rPr>
      </w:pPr>
      <w:r w:rsidRPr="00926893">
        <w:rPr>
          <w:lang w:val="en-GB"/>
        </w:rPr>
        <w:t>Nur Fitriyana</w:t>
      </w:r>
      <w:r w:rsidR="007E6AA6">
        <w:rPr>
          <w:vertAlign w:val="superscript"/>
          <w:lang w:val="en-GB"/>
        </w:rPr>
        <w:t>1</w:t>
      </w:r>
      <w:r w:rsidR="007E6AA6" w:rsidRPr="007E6AA6">
        <w:rPr>
          <w:lang w:val="en-GB"/>
        </w:rPr>
        <w:t xml:space="preserve">, </w:t>
      </w:r>
      <w:r w:rsidR="00D171F8" w:rsidRPr="00D171F8">
        <w:rPr>
          <w:lang w:val="en-GB"/>
        </w:rPr>
        <w:t>Ratu Ilma Indra Putri</w:t>
      </w:r>
      <w:r w:rsidR="00D171F8">
        <w:rPr>
          <w:vertAlign w:val="superscript"/>
          <w:lang w:val="en-GB"/>
        </w:rPr>
        <w:t>2</w:t>
      </w:r>
      <w:r w:rsidR="00D171F8" w:rsidRPr="00D171F8">
        <w:rPr>
          <w:lang w:val="en-GB"/>
        </w:rPr>
        <w:t xml:space="preserve"> , Zulkardi</w:t>
      </w:r>
      <w:r w:rsidR="00D171F8">
        <w:rPr>
          <w:vertAlign w:val="superscript"/>
          <w:lang w:val="en-GB"/>
        </w:rPr>
        <w:t>3</w:t>
      </w:r>
      <w:r w:rsidR="00D171F8" w:rsidRPr="00D171F8">
        <w:rPr>
          <w:lang w:val="en-GB"/>
        </w:rPr>
        <w:t xml:space="preserve"> , Ely Susanti</w:t>
      </w:r>
      <w:r w:rsidR="00D171F8">
        <w:rPr>
          <w:vertAlign w:val="superscript"/>
          <w:lang w:val="en-GB"/>
        </w:rPr>
        <w:t>4</w:t>
      </w:r>
    </w:p>
    <w:p w14:paraId="50E9BAA0" w14:textId="5E29DACD"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926893">
        <w:rPr>
          <w:color w:val="auto"/>
          <w:lang w:val="en-GB"/>
        </w:rPr>
        <w:t>Universitas</w:t>
      </w:r>
      <w:r w:rsidR="00D171F8">
        <w:rPr>
          <w:color w:val="auto"/>
          <w:lang w:val="en-GB"/>
        </w:rPr>
        <w:t xml:space="preserve"> Sriwijaya</w:t>
      </w:r>
      <w:r w:rsidR="002B31FD" w:rsidRPr="002B31FD">
        <w:rPr>
          <w:color w:val="auto"/>
          <w:lang w:val="en-GB"/>
        </w:rPr>
        <w:t xml:space="preserve">; </w:t>
      </w:r>
      <w:r w:rsidR="00D171F8">
        <w:rPr>
          <w:color w:val="auto"/>
          <w:lang w:val="en-GB"/>
        </w:rPr>
        <w:t>nurfi3ana2@gmail</w:t>
      </w:r>
      <w:r w:rsidR="002B31FD" w:rsidRPr="002B31FD">
        <w:rPr>
          <w:color w:val="auto"/>
          <w:lang w:val="en-GB"/>
        </w:rPr>
        <w:t>.com</w:t>
      </w:r>
    </w:p>
    <w:p w14:paraId="31A9637E" w14:textId="50F1D66A"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r w:rsidR="00D171F8">
        <w:rPr>
          <w:color w:val="auto"/>
          <w:lang w:val="en-GB"/>
        </w:rPr>
        <w:t>Universitas Sriwijaya</w:t>
      </w:r>
      <w:r w:rsidR="002B31FD" w:rsidRPr="002B31FD">
        <w:rPr>
          <w:color w:val="auto"/>
          <w:lang w:val="en-GB"/>
        </w:rPr>
        <w:t xml:space="preserve">; </w:t>
      </w:r>
      <w:hyperlink r:id="rId8" w:history="1">
        <w:r w:rsidR="00D171F8" w:rsidRPr="006F2266">
          <w:rPr>
            <w:rStyle w:val="Hyperlink"/>
            <w:lang w:val="en-GB"/>
          </w:rPr>
          <w:t>ratuilma@unsri.ac.id</w:t>
        </w:r>
      </w:hyperlink>
    </w:p>
    <w:p w14:paraId="6B449EED" w14:textId="77777777" w:rsidR="00D171F8" w:rsidRDefault="00D171F8" w:rsidP="00D171F8">
      <w:pPr>
        <w:pStyle w:val="Alishlah16affiliation"/>
        <w:rPr>
          <w:rFonts w:ascii="Cambria" w:hAnsi="Cambria"/>
          <w:sz w:val="20"/>
          <w:szCs w:val="20"/>
        </w:rPr>
      </w:pPr>
      <w:r>
        <w:rPr>
          <w:color w:val="auto"/>
          <w:vertAlign w:val="superscript"/>
          <w:lang w:val="en-GB"/>
        </w:rPr>
        <w:t>2</w:t>
      </w:r>
      <w:r w:rsidRPr="00A75CB1">
        <w:rPr>
          <w:color w:val="auto"/>
          <w:lang w:val="en-GB"/>
        </w:rPr>
        <w:tab/>
      </w:r>
      <w:r>
        <w:rPr>
          <w:color w:val="auto"/>
          <w:lang w:val="en-GB"/>
        </w:rPr>
        <w:t>Universitas Sriwijaya</w:t>
      </w:r>
      <w:r w:rsidRPr="002B31FD">
        <w:rPr>
          <w:color w:val="auto"/>
          <w:lang w:val="en-GB"/>
        </w:rPr>
        <w:t xml:space="preserve">; </w:t>
      </w:r>
      <w:hyperlink r:id="rId9" w:history="1">
        <w:r>
          <w:rPr>
            <w:rStyle w:val="Hyperlink"/>
            <w:rFonts w:ascii="Cambria" w:hAnsi="Cambria"/>
            <w:color w:val="auto"/>
            <w:sz w:val="20"/>
            <w:szCs w:val="20"/>
          </w:rPr>
          <w:t>zulkardi@unsri.ac.id</w:t>
        </w:r>
      </w:hyperlink>
    </w:p>
    <w:p w14:paraId="7F51602B" w14:textId="5762CB97" w:rsidR="00D171F8" w:rsidRDefault="00D171F8" w:rsidP="00D171F8">
      <w:pPr>
        <w:pStyle w:val="Alishlah16affiliation"/>
        <w:rPr>
          <w:color w:val="auto"/>
          <w:lang w:val="en-GB"/>
        </w:rPr>
      </w:pPr>
      <w:r>
        <w:rPr>
          <w:color w:val="auto"/>
          <w:vertAlign w:val="superscript"/>
          <w:lang w:val="en-GB"/>
        </w:rPr>
        <w:t>2</w:t>
      </w:r>
      <w:r w:rsidRPr="00A75CB1">
        <w:rPr>
          <w:color w:val="auto"/>
          <w:lang w:val="en-GB"/>
        </w:rPr>
        <w:tab/>
      </w:r>
      <w:r>
        <w:rPr>
          <w:color w:val="auto"/>
          <w:lang w:val="en-GB"/>
        </w:rPr>
        <w:t>Universitas Sriwijaya</w:t>
      </w:r>
      <w:r w:rsidRPr="002B31FD">
        <w:rPr>
          <w:color w:val="auto"/>
          <w:lang w:val="en-GB"/>
        </w:rPr>
        <w:t xml:space="preserve">; </w:t>
      </w:r>
      <w:r w:rsidR="00741AD1" w:rsidRPr="00741AD1">
        <w:rPr>
          <w:color w:val="auto"/>
          <w:lang w:val="en-GB"/>
        </w:rPr>
        <w:t>ely_susanti@fkip.unsri.ac.id</w:t>
      </w:r>
    </w:p>
    <w:p w14:paraId="4A5AAAAB"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6DC41EC2" w14:textId="77777777" w:rsidTr="0048254D">
        <w:trPr>
          <w:jc w:val="center"/>
        </w:trPr>
        <w:tc>
          <w:tcPr>
            <w:tcW w:w="2787" w:type="dxa"/>
            <w:tcBorders>
              <w:top w:val="double" w:sz="4" w:space="0" w:color="auto"/>
              <w:left w:val="nil"/>
              <w:bottom w:val="single" w:sz="4" w:space="0" w:color="auto"/>
              <w:right w:val="nil"/>
            </w:tcBorders>
          </w:tcPr>
          <w:p w14:paraId="1352506B"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57E3DABB"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5B4B2B2C"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4DC454D1" w14:textId="77777777" w:rsidTr="0048254D">
        <w:trPr>
          <w:trHeight w:val="1268"/>
          <w:jc w:val="center"/>
        </w:trPr>
        <w:tc>
          <w:tcPr>
            <w:tcW w:w="2787" w:type="dxa"/>
            <w:tcBorders>
              <w:top w:val="single" w:sz="4" w:space="0" w:color="auto"/>
              <w:left w:val="nil"/>
              <w:bottom w:val="single" w:sz="4" w:space="0" w:color="auto"/>
              <w:right w:val="nil"/>
            </w:tcBorders>
          </w:tcPr>
          <w:p w14:paraId="17DCE846"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1A1A4F6A" w14:textId="33CDBAC5" w:rsidR="0048254D" w:rsidRPr="0048254D" w:rsidRDefault="00634B99" w:rsidP="00372C87">
            <w:pPr>
              <w:pStyle w:val="Alishlah18keywords"/>
            </w:pPr>
            <w:r>
              <w:t>G</w:t>
            </w:r>
            <w:r w:rsidR="00372C87" w:rsidRPr="00372C87">
              <w:t>eometry</w:t>
            </w:r>
            <w:r w:rsidR="00372C87">
              <w:t xml:space="preserve">; </w:t>
            </w:r>
            <w:r w:rsidR="00372C87" w:rsidRPr="00372C87">
              <w:t>GeoGebra</w:t>
            </w:r>
            <w:r w:rsidR="00372C87">
              <w:t>;</w:t>
            </w:r>
            <w:r w:rsidR="00372C87" w:rsidRPr="00372C87">
              <w:t xml:space="preserve"> learning mathematics</w:t>
            </w:r>
            <w:r w:rsidR="00372C87">
              <w:t>;</w:t>
            </w:r>
            <w:r w:rsidR="00372C87" w:rsidRPr="00372C87">
              <w:t xml:space="preserve"> systematic literature review</w:t>
            </w:r>
            <w:r w:rsidR="00372C87">
              <w:t xml:space="preserve">; </w:t>
            </w:r>
            <w:r w:rsidR="00372C87" w:rsidRPr="00372C87">
              <w:t>and educational technology</w:t>
            </w:r>
            <w:r w:rsidR="00372C87">
              <w:t>.</w:t>
            </w:r>
          </w:p>
        </w:tc>
        <w:tc>
          <w:tcPr>
            <w:tcW w:w="282" w:type="dxa"/>
            <w:vMerge w:val="restart"/>
            <w:tcBorders>
              <w:top w:val="nil"/>
              <w:left w:val="nil"/>
              <w:bottom w:val="nil"/>
              <w:right w:val="nil"/>
            </w:tcBorders>
          </w:tcPr>
          <w:p w14:paraId="7E655785"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10DB7280" w14:textId="7CFB0A66" w:rsidR="0048254D" w:rsidRPr="00E45249" w:rsidRDefault="00372C87" w:rsidP="00E45249">
            <w:pPr>
              <w:pStyle w:val="Alishlah17abstract"/>
            </w:pPr>
            <w:r w:rsidRPr="00372C87">
              <w:t>Analyzing trends, efficacy, and research gaps regarding the usage of GeoGebra in transformation geometry education is the goal of this Systematic Literature Review (SLR). Students' spatial awareness and enthusiasm to learn are enhanced by GeoGebra, an interactive application that makes abstract concepts like translation, rotation, reflection, and dilation easier to visualize dynamically. Through the phases of identification, screening, eligibility, and inclusion, this study adhered to the PRISMA method for papers published between 2020 and 2025. Fifteen articles in all fulfilled the requirements for inclusion and underwent descriptive analysis. According to the study's findings, GeoGebra continuously improves students' conceptual knowledge and learning objectives while fostering cutting-edge teaching strategies like project-based, problem-based, and flipped learning. The possibilities for interactive learning are further increased by combining GeoGebra with other technologies, such Augmented Reality. Nonetheless, there are still gaps in the educational technology infrastructure, teacher preparation, and cultural background. Numerous research also demonstrate how GeoGebra and ethnomathematics can be used to enhance the learning environment, for instance by visualizing traditional dance moves. Overall, this review's findings support GeoGebra's enormous potential for developing inclusive, contextual, and interactive arithmetic instruction while also providing new avenues for study into technology-based learning design and cultural integration.</w:t>
            </w:r>
          </w:p>
        </w:tc>
      </w:tr>
      <w:tr w:rsidR="0048254D" w:rsidRPr="0048254D" w14:paraId="75571B35"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FF6B83A"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37069543" w14:textId="77777777" w:rsidR="0048254D" w:rsidRPr="006A6719" w:rsidRDefault="0048254D" w:rsidP="00E45249">
            <w:pPr>
              <w:pStyle w:val="Alishlah14history"/>
            </w:pPr>
            <w:r w:rsidRPr="006A6719">
              <w:t xml:space="preserve">Received </w:t>
            </w:r>
            <w:r w:rsidR="00FA43FF" w:rsidRPr="00FA43FF">
              <w:t>2021-08-14</w:t>
            </w:r>
          </w:p>
          <w:p w14:paraId="1298FF7D"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128E1137"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6F37244C"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31787617"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58BB1869" w14:textId="77777777" w:rsidTr="0048254D">
        <w:trPr>
          <w:trHeight w:val="70"/>
          <w:jc w:val="center"/>
        </w:trPr>
        <w:tc>
          <w:tcPr>
            <w:tcW w:w="2787" w:type="dxa"/>
            <w:vMerge/>
            <w:tcBorders>
              <w:top w:val="single" w:sz="4" w:space="0" w:color="auto"/>
              <w:left w:val="nil"/>
              <w:bottom w:val="single" w:sz="4" w:space="0" w:color="auto"/>
              <w:right w:val="nil"/>
            </w:tcBorders>
          </w:tcPr>
          <w:p w14:paraId="29BBABB4"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1FB6DE27"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57535C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0"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C9C7180"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CB2BA34" wp14:editId="3F9E0846">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64C939DA" w14:textId="77777777" w:rsidTr="0048254D">
        <w:trPr>
          <w:jc w:val="center"/>
        </w:trPr>
        <w:tc>
          <w:tcPr>
            <w:tcW w:w="8845" w:type="dxa"/>
            <w:gridSpan w:val="3"/>
            <w:tcBorders>
              <w:top w:val="nil"/>
              <w:left w:val="nil"/>
              <w:bottom w:val="double" w:sz="4" w:space="0" w:color="auto"/>
              <w:right w:val="nil"/>
            </w:tcBorders>
          </w:tcPr>
          <w:p w14:paraId="1CA456FA"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67A97EB3" w14:textId="6AF2BD7C" w:rsidR="00457015" w:rsidRDefault="002B31FD" w:rsidP="00E45249">
            <w:pPr>
              <w:pStyle w:val="Alishlah2authorcorrespondence"/>
            </w:pPr>
            <w:r w:rsidRPr="002B31FD">
              <w:t xml:space="preserve"> </w:t>
            </w:r>
            <w:r w:rsidR="0011252A" w:rsidRPr="00D171F8">
              <w:rPr>
                <w:lang w:val="en-GB"/>
              </w:rPr>
              <w:t>Ratu Ilma Indra Putri</w:t>
            </w:r>
          </w:p>
          <w:p w14:paraId="6C6E769C" w14:textId="456152F1" w:rsidR="0048254D" w:rsidRPr="0048254D" w:rsidRDefault="0011252A" w:rsidP="00E45249">
            <w:pPr>
              <w:pStyle w:val="Alishlah2authorcorrespondence"/>
            </w:pPr>
            <w:r>
              <w:rPr>
                <w:color w:val="auto"/>
                <w:lang w:val="en-GB"/>
              </w:rPr>
              <w:t>Universitas Sriwijaya</w:t>
            </w:r>
            <w:r w:rsidR="002B31FD" w:rsidRPr="002B31FD">
              <w:rPr>
                <w:color w:val="auto"/>
                <w:lang w:val="en-GB"/>
              </w:rPr>
              <w:t xml:space="preserve">; </w:t>
            </w:r>
            <w:hyperlink r:id="rId12" w:history="1">
              <w:r w:rsidR="009945FE" w:rsidRPr="006F2266">
                <w:rPr>
                  <w:rStyle w:val="Hyperlink"/>
                  <w:lang w:val="en-GB"/>
                </w:rPr>
                <w:t>ratuilma@unsri.ac.id</w:t>
              </w:r>
            </w:hyperlink>
          </w:p>
        </w:tc>
      </w:tr>
    </w:tbl>
    <w:p w14:paraId="16BD51B7" w14:textId="77777777" w:rsidR="008E64A2" w:rsidRPr="00A75CB1" w:rsidRDefault="0048254D" w:rsidP="00A10E86">
      <w:pPr>
        <w:pStyle w:val="Alishlah21heading1"/>
        <w:rPr>
          <w:lang w:val="en-GB"/>
        </w:rPr>
      </w:pPr>
      <w:r w:rsidRPr="00A75CB1">
        <w:rPr>
          <w:lang w:val="en-GB"/>
        </w:rPr>
        <w:t>INTRODUCTION</w:t>
      </w:r>
    </w:p>
    <w:p w14:paraId="47C33070" w14:textId="77777777" w:rsidR="00D341E5" w:rsidRDefault="00D341E5" w:rsidP="00D341E5">
      <w:pPr>
        <w:pStyle w:val="Alishlah31text"/>
        <w:rPr>
          <w:rFonts w:eastAsia="SimSun"/>
          <w:spacing w:val="-2"/>
          <w:lang w:val="en-ID" w:eastAsia="zh-CN"/>
        </w:rPr>
      </w:pPr>
      <w:r w:rsidRPr="00D341E5">
        <w:rPr>
          <w:rFonts w:eastAsia="SimSun"/>
          <w:spacing w:val="-2"/>
          <w:lang w:val="en-ID" w:eastAsia="zh-CN"/>
        </w:rPr>
        <w:t xml:space="preserve">Geometry is a crucial topic in mathematics education, playing a key role in developing students' understanding of spatial concepts and mathematical relationships. Transformations such as translation, </w:t>
      </w:r>
      <w:r w:rsidRPr="00D341E5">
        <w:rPr>
          <w:rFonts w:eastAsia="SimSun"/>
          <w:spacing w:val="-2"/>
          <w:lang w:val="en-ID" w:eastAsia="zh-CN"/>
        </w:rPr>
        <w:lastRenderedPageBreak/>
        <w:t>rotation, reflection, and dilation form the basis for numerous applications in disciplines such as design, technology, and computer science (Brown &amp; Wilson, 2019). However, this topic is often considered challenging by students due to its abstract nature and the need for advanced spatial visualization skills (Martinez &amp; Garcia, 2018). Research shows that integrating technology, such as dynamic geometry software, can significantly improve students' visualization skills, deepening their understanding of transformation concepts (Smith &amp; Jones, 2020; Thompson &amp; Evans, 2022). Furthermore, technology-based learning not only improves academic outcomes but also positively influences students' attitudes toward mathematics learning (Davis &amp; Lee, 2021). With an innovative and interactive approach, the challenges of learning transformation geometry can be overcome, enabling students to understand and apply these concepts more effectively.</w:t>
      </w:r>
    </w:p>
    <w:p w14:paraId="74D2418D" w14:textId="77777777" w:rsidR="00D341E5" w:rsidRDefault="00D341E5" w:rsidP="00D341E5">
      <w:pPr>
        <w:pStyle w:val="Alishlah31text"/>
        <w:rPr>
          <w:rFonts w:eastAsia="SimSun"/>
          <w:spacing w:val="-2"/>
          <w:lang w:val="en-ID" w:eastAsia="zh-CN"/>
        </w:rPr>
      </w:pPr>
      <w:r w:rsidRPr="00D341E5">
        <w:rPr>
          <w:rFonts w:eastAsia="SimSun"/>
          <w:spacing w:val="-2"/>
          <w:lang w:val="en-ID" w:eastAsia="zh-CN"/>
        </w:rPr>
        <w:t>Learning mathematics, including transformation geometry, has been aided by interactive educational technologies like GeoGebra in recent decades. By allowing students to directly interact and examine geometric objects, GeoGebra provides a dynamic visual environment that bridges the gap between mathematical abstraction and visual reality (Küçük &amp; Gün, 2023; Makamure &amp; Mukamba, 2020). According to research, students' favorable attitudes about mathematics, learning motivation, and comprehension of mathematical topics can all be greatly enhanced by utilizing GeoGebra (Dahal et al., 2022; Asare &amp; Atteh, 2022). Additionally, it has been demonstrated that GeoGebra works well for giving children a more structured and interactive understanding of geometric transformations including translation, rotation, reflection, and dilation (Condori et al., 2020). Numerous research are being carried out to assess GeoGebra's efficacy, create educational activities, and pinpoint opportunities and problems related to its use in mathematics instruction as a result of its growing usage in classrooms (Küçük &amp; Gün, 2023; Dahal et al., 2022). Additionally, GeoGebra can help with geometry instruction by visualizing dance patterns and movement points.</w:t>
      </w:r>
    </w:p>
    <w:p w14:paraId="4E32A8DA" w14:textId="77777777" w:rsidR="00D341E5" w:rsidRDefault="00D341E5" w:rsidP="00D341E5">
      <w:pPr>
        <w:pStyle w:val="Alishlah31text"/>
        <w:rPr>
          <w:rFonts w:eastAsia="SimSun"/>
          <w:spacing w:val="-2"/>
          <w:lang w:val="en-ID" w:eastAsia="zh-CN"/>
        </w:rPr>
      </w:pPr>
      <w:r w:rsidRPr="00D341E5">
        <w:rPr>
          <w:rFonts w:eastAsia="SimSun"/>
          <w:spacing w:val="-2"/>
          <w:lang w:val="en-ID" w:eastAsia="zh-CN"/>
        </w:rPr>
        <w:t>By relating mathematical ideas to cultural customs, incorporating traditional dances—like the tea-eku dance—into mathematics instruction can improve student engagement and learning results. This strategy respects and conserves cultural heritage in addition to boosting engagement (Sa'o et al., 2023). The study of ethnomathematics examines how mathematical ideas are incorporated into cultural behaviors, such as the dolo-dolo dance, which uses ideas like angles, lines, and points. This method offers contextualized learning experiences and emphasizes how mathematics is present in regular cultural activities (Lewar et al., 2022). Studies relating human movement to geometric concepts like angles and symmetry have shown that the dynamic and visual nature of dance can make geometry more approachable and interesting for pupils (Taufer &amp; Almeida, 2022). Students can make animations that blend mathematical and artistic concepts by using digital tools like the programmable Turtle Geometry. Through the imaginative process of coding dance moves, this method promotes a deeper comprehension of mathematical ideas like symmetry and periodicity (Kynigos &amp; Karavakou, 2022).</w:t>
      </w:r>
    </w:p>
    <w:p w14:paraId="3F3B799F" w14:textId="77777777" w:rsidR="00D341E5" w:rsidRDefault="00D341E5" w:rsidP="00D341E5">
      <w:pPr>
        <w:pStyle w:val="Alishlah31text"/>
        <w:rPr>
          <w:rFonts w:eastAsia="SimSun"/>
          <w:spacing w:val="-2"/>
          <w:lang w:val="en-ID" w:eastAsia="zh-CN"/>
        </w:rPr>
      </w:pPr>
      <w:r w:rsidRPr="00D341E5">
        <w:rPr>
          <w:rFonts w:eastAsia="SimSun"/>
          <w:spacing w:val="-2"/>
          <w:lang w:val="en-ID" w:eastAsia="zh-CN"/>
        </w:rPr>
        <w:t>Despite the large number of studies on GeoGebra-based learning, there has not been a thorough systematic assessment of the literature on transformation geometry. Students can directly handle geometric objects in GeoGebra's dynamic visual environment, which helps to connect mathematical abstraction with visual reality (Dahal et al., 2022; Condori et al., 2020). Numerous studies have demonstrated that GeoGebra can encourage students to participate more actively in their education and enhance their performance in geometric transformations (Bwalya, 2019; Muslim et al., 2023). To evaluate GeoGebra-based learning approaches, gauge the effectiveness of instructional tactics, and pinpoint current research gaps, a more thorough systematic review is necessary. To help educators make the most of this technology in teaching transformation geometry, this review is essential for formulating research recommendations (Yohannes &amp; Chen, 2021; Muslim et al., 2023).</w:t>
      </w:r>
    </w:p>
    <w:p w14:paraId="277743D0" w14:textId="5E1DFB38" w:rsidR="00D341E5" w:rsidRDefault="00D341E5" w:rsidP="00D341E5">
      <w:pPr>
        <w:pStyle w:val="Alishlah31text"/>
        <w:rPr>
          <w:rFonts w:eastAsia="SimSun"/>
          <w:spacing w:val="-2"/>
          <w:lang w:val="en-ID" w:eastAsia="zh-CN"/>
        </w:rPr>
      </w:pPr>
      <w:r w:rsidRPr="00D341E5">
        <w:rPr>
          <w:rFonts w:eastAsia="SimSun"/>
          <w:spacing w:val="-2"/>
          <w:lang w:val="en-ID" w:eastAsia="zh-CN"/>
        </w:rPr>
        <w:t xml:space="preserve">A framework for examining the literature on using GeoGebra to learn transformation geometry is provided by three primary research topics. In order to offer worldwide insights into prevailing trends and methodology, the first question focuses on mapping the literature profile, which includes publication distribution, researcher contributions, keyword analysis, and study methodologies. The effectiveness of GeoGebra features and learning strategies, such as self-directed exploration or collaboration, in enhancing </w:t>
      </w:r>
      <w:r w:rsidRPr="00D341E5">
        <w:rPr>
          <w:rFonts w:eastAsia="SimSun"/>
          <w:spacing w:val="-2"/>
          <w:lang w:val="en-ID" w:eastAsia="zh-CN"/>
        </w:rPr>
        <w:lastRenderedPageBreak/>
        <w:t>student understanding is assessed in the second question. It also considers the learning context, which includes real-world applications or visual simulations, as well as the learning design, which includes content like translation, rotation, reflection, or dilation. The final question highlights the limits of the GeoGebra tool as well as research gaps related to cultural relevance and student demands. To enhance technology-based mathematics education, suggestions are made for enhancing GeoGebra's functionality, creating creative designs, and incorporating cultural contexts.</w:t>
      </w:r>
    </w:p>
    <w:p w14:paraId="7CE17863" w14:textId="77777777" w:rsidR="00727D5A" w:rsidRDefault="00727D5A" w:rsidP="005B5AEC">
      <w:pPr>
        <w:pStyle w:val="Alishlah31text"/>
        <w:rPr>
          <w:rFonts w:eastAsia="SimSun"/>
          <w:spacing w:val="-2"/>
          <w:lang w:val="en-ID" w:eastAsia="zh-CN"/>
        </w:rPr>
      </w:pPr>
    </w:p>
    <w:p w14:paraId="70D465EC" w14:textId="77777777" w:rsidR="005B5AEC" w:rsidRPr="00723B12" w:rsidRDefault="005B5AEC" w:rsidP="005B5AEC">
      <w:pPr>
        <w:pStyle w:val="Alishlah21heading1"/>
        <w:rPr>
          <w:rFonts w:eastAsia="Arial"/>
        </w:rPr>
      </w:pPr>
      <w:r w:rsidRPr="00723B12">
        <w:rPr>
          <w:rFonts w:eastAsia="Arial"/>
        </w:rPr>
        <w:t xml:space="preserve">METHODS </w:t>
      </w:r>
    </w:p>
    <w:p w14:paraId="67CE47EF" w14:textId="77777777" w:rsidR="00D341E5" w:rsidRDefault="00D341E5" w:rsidP="00D341E5">
      <w:pPr>
        <w:pStyle w:val="Alishlah31text"/>
      </w:pPr>
      <w:r>
        <w:t>The Systematic Literature Review (SLR) method was used in this study. It was meticulously and methodically planned using a number of steps, such as finding, assessing, interpreting, and drawing conclusions from earlier research findings that were pertinent to and in line with the current study's focus (Triandini et al., 2019). Identification is the first stage of the SLR technique, during which researchers methodically gather material that is pertinent to the subject of the study. This procedure entails looking for literature from a variety of trustworthy sources, including journals, scientific databases, and other reference materials. The quality and applicability of every article or study gathered are then evaluated. A critical examination of the study's methodology, main conclusions, and additions to our knowledge of GeoGebra's application in geometric transformation materials are all part of this evaluation. After the assessment, an interpretation is carried out in order to gather and incorporate the results from the chosen literature. This calls for a deep comprehension of the findings of earlier studies as well as the creation of recognizable broad trends or conclusions. Ultimately, conclusions are derived from the interpretation's findings, and implications are delineated for a deeper comprehension of the advantages of GeoGebra applications in geometric transformation materials.</w:t>
      </w:r>
    </w:p>
    <w:p w14:paraId="3ECBF94A" w14:textId="6FAA944E" w:rsidR="00D341E5" w:rsidRDefault="00D341E5" w:rsidP="00D341E5">
      <w:pPr>
        <w:pStyle w:val="Alishlah31text"/>
      </w:pPr>
      <w:r>
        <w:t>An inclusion criterion is required so that researchers can collect data and material that aligns with the study's goals. (1) Articles that are pertinent to the use of Geogebra in geometric transformation materials; (2) Timeline: 2020–2025; (3) Document type: journal articles with empirical data; (4) Articles in Indonesian to prevent confusion and translation issues in this research; (5) Articles with similar research with the research title using the keywords "Geometry and Geogebra"; (6) Articles accredited by Sinta and Garuda. For inclusion, the researcher developed the following criteria.</w:t>
      </w:r>
    </w:p>
    <w:p w14:paraId="322768CC" w14:textId="77777777" w:rsidR="00D341E5" w:rsidRDefault="00D341E5" w:rsidP="00D341E5">
      <w:pPr>
        <w:pStyle w:val="Alishlah31text"/>
      </w:pPr>
      <w:r>
        <w:t>Researchers thoroughly reviewed and identified all datasets that satisfied the predetermined inclusion criteria in order to put this strategy into practice. During this approach, descriptive techniques were used to assess the caliber of pertinent studies. To get a complete picture of the issue raised in the study topic, the descriptive approach was employed. The identification, screening, eligibility, and inclusion phases of the PRISMA (Preferred Reporting Items for Systematic Reviews and Meta-Analyses) process were used in this study. From data collection to article screening, the use of PRISMA is intended to offer the best possible transparency in the information flow (Hadi et al., 2020). These phases are described in depth to guarantee that every stage of the research process is completed in an organized way and in compliance with the success criteria of systematic reviews and meta-analyses.</w:t>
      </w:r>
    </w:p>
    <w:p w14:paraId="3DD2A3A0" w14:textId="2CEC1694" w:rsidR="00D341E5" w:rsidRDefault="00D341E5" w:rsidP="00D341E5">
      <w:pPr>
        <w:pStyle w:val="Alishlah31text"/>
      </w:pPr>
      <w:r>
        <w:t>It is hoped that by using the PRISMA approach, a clear, organized, and reliable report on the literature review will be generated. Additionally, a clear image of the quality and selectivity of the literature employed is provided by the quantity of studies analyzed at each level. Apart from Prisma, Vosviewer's capabilities are also used to evaluate the most recent geometry and GeoGebra research in the educational process.</w:t>
      </w:r>
    </w:p>
    <w:p w14:paraId="68CB2B9B"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69E9EEA3" w14:textId="6B28BAA9" w:rsidR="00D341E5" w:rsidRPr="00D341E5" w:rsidRDefault="00D341E5" w:rsidP="00D341E5">
      <w:pPr>
        <w:pStyle w:val="Alishlah31text"/>
        <w:ind w:firstLine="0"/>
        <w:rPr>
          <w:i/>
          <w:iCs/>
        </w:rPr>
      </w:pPr>
      <w:r w:rsidRPr="00D341E5">
        <w:rPr>
          <w:i/>
          <w:iCs/>
        </w:rPr>
        <w:t>Results</w:t>
      </w:r>
    </w:p>
    <w:p w14:paraId="7120A143" w14:textId="148DD963" w:rsidR="00D341E5" w:rsidRDefault="00D341E5" w:rsidP="00D341E5">
      <w:pPr>
        <w:pStyle w:val="Alishlah31text"/>
      </w:pPr>
      <w:r>
        <w:t xml:space="preserve">Research on the application of GeoGebra in mathematics education has significantly increased over the past ten years, according to a study of 15 pertinent articles (Figure 1). The majority of studies, which come from international journals devoted to mathematics education and educational technology, </w:t>
      </w:r>
      <w:r>
        <w:lastRenderedPageBreak/>
        <w:t>assess GeoGebra's effects on students' academic performance and conceptual understanding through a quasi-experimental methodology (Birgin &amp; Topuz, 2021; Kholid et al., 2022). In order to go deeper into students' learning experiences, a number of other research used case study design, demonstrating how GeoGebra facilitates collaborative learning (Birgin &amp; Uzun Yazıcı, 2021). The use of GeoGebra to teach geometric transformations like translation, rotation, reflection, and dilation, as well as cutting-edge strategies like project-based learning and technology integration to enhance mathematics instruction, are among the primary themes presented in these studies (Kounlaxay et al., 2021; Pari Condori et al., 2020).</w:t>
      </w:r>
    </w:p>
    <w:p w14:paraId="6452A9DE" w14:textId="20D96556" w:rsidR="00D341E5" w:rsidRDefault="00D341E5" w:rsidP="00D341E5">
      <w:pPr>
        <w:pStyle w:val="Alishlah31text"/>
      </w:pPr>
      <w:r>
        <w:t>The four primary steps of the PRISMA (Preferred Reporting Items for Systematic Reviews and Meta-Analyses) guidelines—identification, screening, eligibility, and inclusion—were adhered to in the article selection procedure for this study.</w:t>
      </w:r>
    </w:p>
    <w:p w14:paraId="524B96E5" w14:textId="77777777" w:rsidR="00D341E5" w:rsidRDefault="00D341E5" w:rsidP="00D341E5">
      <w:pPr>
        <w:pStyle w:val="Alishlah31text"/>
        <w:ind w:firstLine="0"/>
      </w:pPr>
      <w:r>
        <w:t>1. Identification of the Study (n = 119)</w:t>
      </w:r>
    </w:p>
    <w:p w14:paraId="4FB234B3" w14:textId="1149C46E" w:rsidR="00D341E5" w:rsidRDefault="00D341E5" w:rsidP="00D341E5">
      <w:pPr>
        <w:pStyle w:val="Alishlah31text"/>
      </w:pPr>
      <w:r>
        <w:t>The first step was a methodical search across a number of data sources, including gray literature (e.g., research papers, dissertations, or conference proceedings) and electronic databases (e.g., Publish or Perish). 119 papers encompassing a broad range of studies pertinent to the subject under analysis were found in the first search.</w:t>
      </w:r>
    </w:p>
    <w:p w14:paraId="029C9990" w14:textId="09838D37" w:rsidR="00D341E5" w:rsidRDefault="00D341E5" w:rsidP="00D341E5">
      <w:pPr>
        <w:pStyle w:val="Alishlah31text"/>
        <w:ind w:firstLine="0"/>
      </w:pPr>
      <w:r>
        <w:t>2. Screening (with 30 people)</w:t>
      </w:r>
    </w:p>
    <w:p w14:paraId="5D402C7F" w14:textId="3DBF6826" w:rsidR="00D341E5" w:rsidRDefault="00D341E5" w:rsidP="00D341E5">
      <w:pPr>
        <w:pStyle w:val="Alishlah31text"/>
      </w:pPr>
      <w:r>
        <w:t>Using inclusion and exclusion criteria, screening was done on the 119 papers that were discovered. Articles that were low-quality, redundant, or irrelevant were removed at this stage. Thirty articles that satisfied the fundamental requirements for additional examination were left over after the screening procedure.</w:t>
      </w:r>
    </w:p>
    <w:p w14:paraId="01F7EE77" w14:textId="06C21304" w:rsidR="00D341E5" w:rsidRDefault="00D341E5" w:rsidP="00D341E5">
      <w:pPr>
        <w:pStyle w:val="Alishlah31text"/>
        <w:ind w:firstLine="0"/>
      </w:pPr>
      <w:r>
        <w:t>3. Evaluation of Eligibility (n = 24)</w:t>
      </w:r>
    </w:p>
    <w:p w14:paraId="245C681D" w14:textId="15016A4C" w:rsidR="00D341E5" w:rsidRDefault="00D341E5" w:rsidP="00D341E5">
      <w:pPr>
        <w:pStyle w:val="Alishlah31text"/>
      </w:pPr>
      <w:r>
        <w:t>After passing screening, articles are subjected to a comprehensive evaluation with stricter eligibility requirements. Researchers look at each study's published outcomes, sample size, and methodology. Only 24 of the 30 articles that were examined fit the requirements for a thorough evaluation.</w:t>
      </w:r>
    </w:p>
    <w:p w14:paraId="0812E519" w14:textId="14D67357" w:rsidR="00D341E5" w:rsidRDefault="00D341E5" w:rsidP="00D341E5">
      <w:pPr>
        <w:pStyle w:val="Alishlah31text"/>
        <w:ind w:firstLine="0"/>
      </w:pPr>
      <w:r>
        <w:t>4. Adding (n = 15)</w:t>
      </w:r>
    </w:p>
    <w:p w14:paraId="6AB72EDF" w14:textId="69DC955C" w:rsidR="00D341E5" w:rsidRDefault="00D341E5" w:rsidP="00675F53">
      <w:pPr>
        <w:pStyle w:val="Alishlah31text"/>
      </w:pPr>
      <w:r>
        <w:t>Only genuinely pertinent and excellent research are included in the systematic review or meta-analysis following thorough evaluation. For instance, the last 100 studies are chosen for the final analysis based on their appropriate technique and fit with the study issue.</w:t>
      </w:r>
    </w:p>
    <w:p w14:paraId="0041CC7D" w14:textId="77777777" w:rsidR="00675F53" w:rsidRDefault="00675F53" w:rsidP="00675F53">
      <w:pPr>
        <w:pStyle w:val="Alishlah31text"/>
        <w:ind w:firstLine="0"/>
        <w:jc w:val="left"/>
      </w:pPr>
      <w:r>
        <w:rPr>
          <w:rFonts w:ascii="Times New Roman" w:hAnsi="Times New Roman"/>
          <w:noProof/>
          <w:sz w:val="24"/>
          <w:szCs w:val="24"/>
        </w:rPr>
        <w:lastRenderedPageBreak/>
        <mc:AlternateContent>
          <mc:Choice Requires="wpg">
            <w:drawing>
              <wp:anchor distT="0" distB="0" distL="114300" distR="114300" simplePos="0" relativeHeight="251659264" behindDoc="1" locked="0" layoutInCell="1" allowOverlap="1" wp14:anchorId="774E8CE8" wp14:editId="1B80A026">
                <wp:simplePos x="0" y="0"/>
                <wp:positionH relativeFrom="column">
                  <wp:posOffset>645160</wp:posOffset>
                </wp:positionH>
                <wp:positionV relativeFrom="paragraph">
                  <wp:posOffset>226223</wp:posOffset>
                </wp:positionV>
                <wp:extent cx="5113020" cy="3909060"/>
                <wp:effectExtent l="0" t="0" r="11430" b="15240"/>
                <wp:wrapTopAndBottom/>
                <wp:docPr id="4" name="Group 4"/>
                <wp:cNvGraphicFramePr/>
                <a:graphic xmlns:a="http://schemas.openxmlformats.org/drawingml/2006/main">
                  <a:graphicData uri="http://schemas.microsoft.com/office/word/2010/wordprocessingGroup">
                    <wpg:wgp>
                      <wpg:cNvGrpSpPr/>
                      <wpg:grpSpPr>
                        <a:xfrm>
                          <a:off x="0" y="0"/>
                          <a:ext cx="5113020" cy="3909060"/>
                          <a:chOff x="-1209" y="0"/>
                          <a:chExt cx="4946892" cy="4378299"/>
                        </a:xfrm>
                      </wpg:grpSpPr>
                      <wps:wsp>
                        <wps:cNvPr id="248" name="Rectangle 248"/>
                        <wps:cNvSpPr/>
                        <wps:spPr>
                          <a:xfrm>
                            <a:off x="2560320" y="3172573"/>
                            <a:ext cx="2385363" cy="71683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EE3DCD" w14:textId="77777777" w:rsidR="00675F53" w:rsidRDefault="00675F53" w:rsidP="00675F53">
                              <w:pPr>
                                <w:ind w:right="-146"/>
                                <w:rPr>
                                  <w:rFonts w:ascii="Times New Roman" w:hAnsi="Times New Roman" w:cs="Times New Roman"/>
                                  <w:color w:val="000000" w:themeColor="text1"/>
                                </w:rPr>
                              </w:pPr>
                              <w:r>
                                <w:rPr>
                                  <w:rFonts w:ascii="Times New Roman" w:hAnsi="Times New Roman" w:cs="Times New Roman"/>
                                  <w:color w:val="000000" w:themeColor="text1"/>
                                  <w:sz w:val="20"/>
                                  <w:szCs w:val="20"/>
                                </w:rPr>
                                <w:t>Records issued based on full-text screening (n = 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0" name="Rectangle 250"/>
                        <wps:cNvSpPr/>
                        <wps:spPr>
                          <a:xfrm>
                            <a:off x="516834" y="2663699"/>
                            <a:ext cx="1860550" cy="425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C59ACA"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Full-text articles assessed for eligibility (n = 24)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3" name="Rectangle 253"/>
                        <wps:cNvSpPr/>
                        <wps:spPr>
                          <a:xfrm rot="16200000">
                            <a:off x="-404175" y="2827275"/>
                            <a:ext cx="1066282" cy="260350"/>
                          </a:xfrm>
                          <a:prstGeom prst="rect">
                            <a:avLst/>
                          </a:prstGeom>
                          <a:solidFill>
                            <a:schemeClr val="accent5">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D035DE"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Eligibility</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4" name="Rectangle 254"/>
                        <wps:cNvSpPr/>
                        <wps:spPr>
                          <a:xfrm rot="16200000">
                            <a:off x="-242666" y="3876491"/>
                            <a:ext cx="743267" cy="260350"/>
                          </a:xfrm>
                          <a:prstGeom prst="rect">
                            <a:avLst/>
                          </a:prstGeom>
                          <a:solidFill>
                            <a:schemeClr val="accent5">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AF2A23"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Inclueded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5" name="Rectangle 255"/>
                        <wps:cNvSpPr/>
                        <wps:spPr>
                          <a:xfrm>
                            <a:off x="572329" y="3951799"/>
                            <a:ext cx="1796939" cy="425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06C2A"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Number of articles included in the meta-analysis (n = 15)</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3" name="Group 3"/>
                        <wpg:cNvGrpSpPr/>
                        <wpg:grpSpPr>
                          <a:xfrm>
                            <a:off x="0" y="0"/>
                            <a:ext cx="4945462" cy="2639833"/>
                            <a:chOff x="0" y="0"/>
                            <a:chExt cx="4945462" cy="2639833"/>
                          </a:xfrm>
                        </wpg:grpSpPr>
                        <wps:wsp>
                          <wps:cNvPr id="239" name="Rectangle 239"/>
                          <wps:cNvSpPr/>
                          <wps:spPr>
                            <a:xfrm>
                              <a:off x="516613" y="8173"/>
                              <a:ext cx="1860606" cy="7874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724D04"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Number of articles based on scientific database searches (Publish or Perish) (n =119)</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0" name="Rectangle 240"/>
                          <wps:cNvSpPr/>
                          <wps:spPr>
                            <a:xfrm>
                              <a:off x="2552147" y="771504"/>
                              <a:ext cx="2393315" cy="8026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17069"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Notes issued based on Screening title and abstract (n = 89)</w:t>
                                </w:r>
                              </w:p>
                              <w:p w14:paraId="024263CF" w14:textId="77777777" w:rsidR="00675F53" w:rsidRDefault="00675F53" w:rsidP="00675F53">
                                <w:pPr>
                                  <w:pStyle w:val="ListParagraph"/>
                                  <w:numPr>
                                    <w:ilvl w:val="0"/>
                                    <w:numId w:val="19"/>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sz w:val="20"/>
                                    <w:szCs w:val="20"/>
                                  </w:rPr>
                                  <w:t>Inappropriate research design (n = 64)</w:t>
                                </w:r>
                              </w:p>
                              <w:p w14:paraId="47FBB2D2" w14:textId="77777777" w:rsidR="00675F53" w:rsidRDefault="00675F53" w:rsidP="00675F53">
                                <w:pPr>
                                  <w:pStyle w:val="ListParagraph"/>
                                  <w:numPr>
                                    <w:ilvl w:val="0"/>
                                    <w:numId w:val="19"/>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sz w:val="20"/>
                                    <w:szCs w:val="20"/>
                                  </w:rPr>
                                  <w:t>Inappropriate publication type (n = 25)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3" name="Straight Arrow Connector 243"/>
                          <wps:cNvCnPr/>
                          <wps:spPr>
                            <a:xfrm>
                              <a:off x="1431013" y="1184972"/>
                              <a:ext cx="10813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5" name="Rectangle 245"/>
                          <wps:cNvSpPr/>
                          <wps:spPr>
                            <a:xfrm>
                              <a:off x="516613" y="1662051"/>
                              <a:ext cx="1908286" cy="425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80C18" w14:textId="77777777" w:rsidR="00675F53" w:rsidRDefault="00675F53" w:rsidP="00675F53">
                                <w:pPr>
                                  <w:ind w:right="-130"/>
                                  <w:rPr>
                                    <w:rFonts w:ascii="Times New Roman" w:hAnsi="Times New Roman" w:cs="Times New Roman"/>
                                    <w:color w:val="000000" w:themeColor="text1"/>
                                  </w:rPr>
                                </w:pPr>
                                <w:r>
                                  <w:rPr>
                                    <w:rFonts w:ascii="Times New Roman" w:hAnsi="Times New Roman" w:cs="Times New Roman"/>
                                    <w:color w:val="000000" w:themeColor="text1"/>
                                    <w:sz w:val="20"/>
                                    <w:szCs w:val="20"/>
                                  </w:rPr>
                                  <w:t>Number of records filtered (n = 30)</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6" name="Straight Arrow Connector 246"/>
                          <wps:cNvCnPr/>
                          <wps:spPr>
                            <a:xfrm>
                              <a:off x="1430925" y="795345"/>
                              <a:ext cx="0" cy="8585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9" name="Straight Arrow Connector 249"/>
                          <wps:cNvCnPr/>
                          <wps:spPr>
                            <a:xfrm>
                              <a:off x="1431013" y="2345866"/>
                              <a:ext cx="10807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1" name="Rectangle 251"/>
                          <wps:cNvSpPr/>
                          <wps:spPr>
                            <a:xfrm rot="16200000">
                              <a:off x="-330200" y="330200"/>
                              <a:ext cx="920750" cy="260350"/>
                            </a:xfrm>
                            <a:prstGeom prst="rect">
                              <a:avLst/>
                            </a:prstGeom>
                            <a:solidFill>
                              <a:schemeClr val="accent5">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4AB1E"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2" name="Rectangle 252"/>
                          <wps:cNvSpPr/>
                          <wps:spPr>
                            <a:xfrm rot="16200000">
                              <a:off x="-465693" y="1547093"/>
                              <a:ext cx="1193612" cy="260350"/>
                            </a:xfrm>
                            <a:prstGeom prst="rect">
                              <a:avLst/>
                            </a:prstGeom>
                            <a:solidFill>
                              <a:schemeClr val="accent5">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E572CB"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Screening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8" name="Rectangle 258"/>
                          <wps:cNvSpPr/>
                          <wps:spPr>
                            <a:xfrm>
                              <a:off x="2552147" y="2162986"/>
                              <a:ext cx="1852295" cy="3937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71A7DF"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Duplicate study deletion (n = 6)</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9" name="Straight Arrow Connector 259"/>
                          <wps:cNvCnPr/>
                          <wps:spPr>
                            <a:xfrm>
                              <a:off x="1430925" y="2091402"/>
                              <a:ext cx="0" cy="5484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60" name="Straight Arrow Connector 260"/>
                        <wps:cNvCnPr/>
                        <wps:spPr>
                          <a:xfrm>
                            <a:off x="1439098" y="3100991"/>
                            <a:ext cx="1" cy="8190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1" name="Straight Arrow Connector 261"/>
                        <wps:cNvCnPr/>
                        <wps:spPr>
                          <a:xfrm>
                            <a:off x="1439187" y="3490623"/>
                            <a:ext cx="10972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74E8CE8" id="Group 4" o:spid="_x0000_s1026" style="position:absolute;margin-left:50.8pt;margin-top:17.8pt;width:402.6pt;height:307.8pt;z-index:-251657216" coordorigin="-12" coordsize="49468,43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">
                <v:rect id="Rectangle 248" o:spid="_x0000_s1027" style="position:absolute;left:25603;top:31725;width:23853;height:7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" filled="f" strokecolor="black [3213]" strokeweight=".25pt">
                  <v:textbox>
                    <w:txbxContent>
                      <w:p w14:paraId="15EE3DCD" w14:textId="77777777" w:rsidR="00675F53" w:rsidRDefault="00675F53" w:rsidP="00675F53">
                        <w:pPr>
                          <w:ind w:right="-146"/>
                          <w:rPr>
                            <w:rFonts w:ascii="Times New Roman" w:hAnsi="Times New Roman" w:cs="Times New Roman"/>
                            <w:color w:val="000000" w:themeColor="text1"/>
                          </w:rPr>
                        </w:pPr>
                        <w:r>
                          <w:rPr>
                            <w:rFonts w:ascii="Times New Roman" w:hAnsi="Times New Roman" w:cs="Times New Roman"/>
                            <w:color w:val="000000" w:themeColor="text1"/>
                            <w:sz w:val="20"/>
                            <w:szCs w:val="20"/>
                          </w:rPr>
                          <w:t>Records issued based on full-text screening (n = 9)</w:t>
                        </w:r>
                      </w:p>
                    </w:txbxContent>
                  </v:textbox>
                </v:rect>
                <v:rect id="Rectangle 250" o:spid="_x0000_s1028" style="position:absolute;left:5168;top:26636;width:18605;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" filled="f" strokecolor="black [3213]" strokeweight=".25pt">
                  <v:textbox>
                    <w:txbxContent>
                      <w:p w14:paraId="6FC59ACA"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Full-text articles assessed for eligibility (n = 24)</w:t>
                        </w:r>
                      </w:p>
                    </w:txbxContent>
                  </v:textbox>
                </v:rect>
                <v:rect id="Rectangle 253" o:spid="_x0000_s1029" style="position:absolute;left:-4041;top:28272;width:10662;height:26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" fillcolor="#deeaf6 [664]" strokecolor="black [3213]" strokeweight=".25pt">
                  <v:textbox>
                    <w:txbxContent>
                      <w:p w14:paraId="0AD035DE"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Eligibility</w:t>
                        </w:r>
                      </w:p>
                    </w:txbxContent>
                  </v:textbox>
                </v:rect>
                <v:rect id="Rectangle 254" o:spid="_x0000_s1030" style="position:absolute;left:-2426;top:38764;width:7432;height:26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" fillcolor="#deeaf6 [664]" strokecolor="black [3213]" strokeweight=".25pt">
                  <v:textbox>
                    <w:txbxContent>
                      <w:p w14:paraId="70AF2A23" w14:textId="77777777" w:rsidR="00675F53" w:rsidRDefault="00675F53" w:rsidP="00675F53">
                        <w:pPr>
                          <w:jc w:val="center"/>
                          <w:rPr>
                            <w:rFonts w:ascii="Times New Roman" w:hAnsi="Times New Roman" w:cs="Times New Roman"/>
                            <w:b/>
                            <w:bCs/>
                            <w:color w:val="000000" w:themeColor="text1"/>
                          </w:rPr>
                        </w:pPr>
                        <w:proofErr w:type="spellStart"/>
                        <w:r>
                          <w:rPr>
                            <w:rFonts w:ascii="Times New Roman" w:hAnsi="Times New Roman" w:cs="Times New Roman"/>
                            <w:b/>
                            <w:bCs/>
                            <w:color w:val="000000" w:themeColor="text1"/>
                            <w:sz w:val="20"/>
                            <w:szCs w:val="20"/>
                          </w:rPr>
                          <w:t>Inclueded</w:t>
                        </w:r>
                        <w:proofErr w:type="spellEnd"/>
                      </w:p>
                    </w:txbxContent>
                  </v:textbox>
                </v:rect>
                <v:rect id="Rectangle 255" o:spid="_x0000_s1031" style="position:absolute;left:5723;top:39517;width:17969;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" filled="f" strokecolor="black [3213]" strokeweight=".25pt">
                  <v:textbox>
                    <w:txbxContent>
                      <w:p w14:paraId="0AF06C2A"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Number of articles included in the meta-analysis (n = 15)</w:t>
                        </w:r>
                      </w:p>
                    </w:txbxContent>
                  </v:textbox>
                </v:rect>
                <v:group id="Group 3" o:spid="_x0000_s1032" style="position:absolute;width:49454;height:26398" coordsize="49454,2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239" o:spid="_x0000_s1033" style="position:absolute;left:5166;top:81;width:18606;height:7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" filled="f" strokecolor="black [3213]" strokeweight=".25pt">
                    <v:textbox>
                      <w:txbxContent>
                        <w:p w14:paraId="44724D04"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Number of articles based on scientific database searches (Publish or Perish) (n =119)</w:t>
                          </w:r>
                        </w:p>
                      </w:txbxContent>
                    </v:textbox>
                  </v:rect>
                  <v:rect id="Rectangle 240" o:spid="_x0000_s1034" style="position:absolute;left:25521;top:7715;width:23933;height:8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" filled="f" strokecolor="black [3213]" strokeweight=".25pt">
                    <v:textbox>
                      <w:txbxContent>
                        <w:p w14:paraId="70017069"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Notes issued based on Screening title and abstract (n = 89)</w:t>
                          </w:r>
                        </w:p>
                        <w:p w14:paraId="024263CF" w14:textId="77777777" w:rsidR="00675F53" w:rsidRDefault="00675F53" w:rsidP="00675F53">
                          <w:pPr>
                            <w:pStyle w:val="ListParagraph"/>
                            <w:numPr>
                              <w:ilvl w:val="0"/>
                              <w:numId w:val="19"/>
                            </w:numPr>
                            <w:spacing w:after="0" w:line="240" w:lineRule="auto"/>
                            <w:ind w:left="284" w:hanging="284"/>
                            <w:rPr>
                              <w:rFonts w:ascii="Times New Roman" w:hAnsi="Times New Roman" w:cs="Times New Roman"/>
                              <w:color w:val="000000" w:themeColor="text1"/>
                            </w:rPr>
                          </w:pPr>
                          <w:proofErr w:type="spellStart"/>
                          <w:r>
                            <w:rPr>
                              <w:rFonts w:ascii="Times New Roman" w:hAnsi="Times New Roman" w:cs="Times New Roman"/>
                              <w:color w:val="000000" w:themeColor="text1"/>
                              <w:sz w:val="20"/>
                              <w:szCs w:val="20"/>
                            </w:rPr>
                            <w:t>Inappropriate</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research</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design</w:t>
                          </w:r>
                          <w:proofErr w:type="spellEnd"/>
                          <w:r>
                            <w:rPr>
                              <w:rFonts w:ascii="Times New Roman" w:hAnsi="Times New Roman" w:cs="Times New Roman"/>
                              <w:color w:val="000000" w:themeColor="text1"/>
                              <w:sz w:val="20"/>
                              <w:szCs w:val="20"/>
                            </w:rPr>
                            <w:t xml:space="preserve"> (n = 64)</w:t>
                          </w:r>
                        </w:p>
                        <w:p w14:paraId="47FBB2D2" w14:textId="77777777" w:rsidR="00675F53" w:rsidRDefault="00675F53" w:rsidP="00675F53">
                          <w:pPr>
                            <w:pStyle w:val="ListParagraph"/>
                            <w:numPr>
                              <w:ilvl w:val="0"/>
                              <w:numId w:val="19"/>
                            </w:numPr>
                            <w:spacing w:after="0" w:line="240" w:lineRule="auto"/>
                            <w:ind w:left="284" w:hanging="284"/>
                            <w:rPr>
                              <w:rFonts w:ascii="Times New Roman" w:hAnsi="Times New Roman" w:cs="Times New Roman"/>
                              <w:color w:val="000000" w:themeColor="text1"/>
                            </w:rPr>
                          </w:pPr>
                          <w:proofErr w:type="spellStart"/>
                          <w:r>
                            <w:rPr>
                              <w:rFonts w:ascii="Times New Roman" w:hAnsi="Times New Roman" w:cs="Times New Roman"/>
                              <w:color w:val="000000" w:themeColor="text1"/>
                              <w:sz w:val="20"/>
                              <w:szCs w:val="20"/>
                            </w:rPr>
                            <w:t>Inappropriate</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publication</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type</w:t>
                          </w:r>
                          <w:proofErr w:type="spellEnd"/>
                          <w:r>
                            <w:rPr>
                              <w:rFonts w:ascii="Times New Roman" w:hAnsi="Times New Roman" w:cs="Times New Roman"/>
                              <w:color w:val="000000" w:themeColor="text1"/>
                              <w:sz w:val="20"/>
                              <w:szCs w:val="20"/>
                            </w:rPr>
                            <w:t xml:space="preserve"> (n = 25)</w:t>
                          </w:r>
                        </w:p>
                      </w:txbxContent>
                    </v:textbox>
                  </v:rect>
                  <v:shapetype id="_x0000_t32" coordsize="21600,21600" o:spt="32" o:oned="t" path="m,l21600,21600e" filled="f">
                    <v:path arrowok="t" fillok="f" o:connecttype="none"/>
                    <o:lock v:ext="edit" shapetype="t"/>
                  </v:shapetype>
                  <v:shape id="Straight Arrow Connector 243" o:spid="_x0000_s1035" type="#_x0000_t32" style="position:absolute;left:14310;top:11849;width:108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" strokecolor="black [3200]" strokeweight=".5pt">
                    <v:stroke endarrow="block" joinstyle="miter"/>
                  </v:shape>
                  <v:rect id="Rectangle 245" o:spid="_x0000_s1036" style="position:absolute;left:5166;top:16620;width:19082;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" filled="f" strokecolor="black [3213]" strokeweight=".25pt">
                    <v:textbox>
                      <w:txbxContent>
                        <w:p w14:paraId="1E080C18" w14:textId="77777777" w:rsidR="00675F53" w:rsidRDefault="00675F53" w:rsidP="00675F53">
                          <w:pPr>
                            <w:ind w:right="-130"/>
                            <w:rPr>
                              <w:rFonts w:ascii="Times New Roman" w:hAnsi="Times New Roman" w:cs="Times New Roman"/>
                              <w:color w:val="000000" w:themeColor="text1"/>
                            </w:rPr>
                          </w:pPr>
                          <w:r>
                            <w:rPr>
                              <w:rFonts w:ascii="Times New Roman" w:hAnsi="Times New Roman" w:cs="Times New Roman"/>
                              <w:color w:val="000000" w:themeColor="text1"/>
                              <w:sz w:val="20"/>
                              <w:szCs w:val="20"/>
                            </w:rPr>
                            <w:t>Number of records filtered (n = 30)</w:t>
                          </w:r>
                        </w:p>
                      </w:txbxContent>
                    </v:textbox>
                  </v:rect>
                  <v:shape id="Straight Arrow Connector 246" o:spid="_x0000_s1037" type="#_x0000_t32" style="position:absolute;left:14309;top:7953;width:0;height:8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" strokecolor="black [3200]" strokeweight=".5pt">
                    <v:stroke endarrow="block" joinstyle="miter"/>
                  </v:shape>
                  <v:shape id="Straight Arrow Connector 249" o:spid="_x0000_s1038" type="#_x0000_t32" style="position:absolute;left:14310;top:23458;width:108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" strokecolor="black [3200]" strokeweight=".5pt">
                    <v:stroke endarrow="block" joinstyle="miter"/>
                  </v:shape>
                  <v:rect id="Rectangle 251" o:spid="_x0000_s1039" style="position:absolute;left:-3302;top:3302;width:9207;height:26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" fillcolor="#deeaf6 [664]" strokecolor="black [3213]" strokeweight=".25pt">
                    <v:textbox>
                      <w:txbxContent>
                        <w:p w14:paraId="35C4AB1E"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Identification</w:t>
                          </w:r>
                        </w:p>
                      </w:txbxContent>
                    </v:textbox>
                  </v:rect>
                  <v:rect id="Rectangle 252" o:spid="_x0000_s1040" style="position:absolute;left:-4657;top:15470;width:11936;height:26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" fillcolor="#deeaf6 [664]" strokecolor="black [3213]" strokeweight=".25pt">
                    <v:textbox>
                      <w:txbxContent>
                        <w:p w14:paraId="54E572CB" w14:textId="77777777" w:rsidR="00675F53" w:rsidRDefault="00675F53" w:rsidP="00675F53">
                          <w:pPr>
                            <w:jc w:val="center"/>
                            <w:rPr>
                              <w:rFonts w:ascii="Times New Roman" w:hAnsi="Times New Roman" w:cs="Times New Roman"/>
                              <w:b/>
                              <w:bCs/>
                              <w:color w:val="000000" w:themeColor="text1"/>
                            </w:rPr>
                          </w:pPr>
                          <w:r>
                            <w:rPr>
                              <w:rFonts w:ascii="Times New Roman" w:hAnsi="Times New Roman" w:cs="Times New Roman"/>
                              <w:b/>
                              <w:bCs/>
                              <w:color w:val="000000" w:themeColor="text1"/>
                              <w:sz w:val="20"/>
                              <w:szCs w:val="20"/>
                            </w:rPr>
                            <w:t>Screening</w:t>
                          </w:r>
                        </w:p>
                      </w:txbxContent>
                    </v:textbox>
                  </v:rect>
                  <v:rect id="Rectangle 258" o:spid="_x0000_s1041" style="position:absolute;left:25521;top:21629;width:18523;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" filled="f" strokecolor="black [3213]" strokeweight=".25pt">
                    <v:textbox>
                      <w:txbxContent>
                        <w:p w14:paraId="0171A7DF" w14:textId="77777777" w:rsidR="00675F53" w:rsidRDefault="00675F53" w:rsidP="00675F53">
                          <w:pPr>
                            <w:rPr>
                              <w:rFonts w:ascii="Times New Roman" w:hAnsi="Times New Roman" w:cs="Times New Roman"/>
                              <w:color w:val="000000" w:themeColor="text1"/>
                            </w:rPr>
                          </w:pPr>
                          <w:r>
                            <w:rPr>
                              <w:rFonts w:ascii="Times New Roman" w:hAnsi="Times New Roman" w:cs="Times New Roman"/>
                              <w:color w:val="000000" w:themeColor="text1"/>
                              <w:sz w:val="20"/>
                              <w:szCs w:val="20"/>
                            </w:rPr>
                            <w:t>Duplicate study deletion (n = 6)</w:t>
                          </w:r>
                        </w:p>
                      </w:txbxContent>
                    </v:textbox>
                  </v:rect>
                  <v:shape id="Straight Arrow Connector 259" o:spid="_x0000_s1042" type="#_x0000_t32" style="position:absolute;left:14309;top:20914;width:0;height:5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" strokecolor="black [3200]" strokeweight=".5pt">
                    <v:stroke endarrow="block" joinstyle="miter"/>
                  </v:shape>
                </v:group>
                <v:shape id="Straight Arrow Connector 260" o:spid="_x0000_s1043" type="#_x0000_t32" style="position:absolute;left:14390;top:31009;width:0;height:8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" strokecolor="black [3200]" strokeweight=".5pt">
                  <v:stroke endarrow="block" joinstyle="miter"/>
                </v:shape>
                <v:shape id="Straight Arrow Connector 261" o:spid="_x0000_s1044" type="#_x0000_t32" style="position:absolute;left:14391;top:34906;width:10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" strokecolor="black [3200]" strokeweight=".5pt">
                  <v:stroke endarrow="block" joinstyle="miter"/>
                </v:shape>
                <w10:wrap type="topAndBottom"/>
              </v:group>
            </w:pict>
          </mc:Fallback>
        </mc:AlternateContent>
      </w:r>
    </w:p>
    <w:p w14:paraId="28C204FC" w14:textId="15EFEE61" w:rsidR="00675F53" w:rsidRDefault="00675F53" w:rsidP="00675F53">
      <w:pPr>
        <w:pStyle w:val="Alishlah31text"/>
      </w:pPr>
    </w:p>
    <w:p w14:paraId="108E1022" w14:textId="7EEE080B" w:rsidR="00D341E5" w:rsidRDefault="00D341E5" w:rsidP="00675F53">
      <w:pPr>
        <w:pStyle w:val="Alishlah31text"/>
        <w:jc w:val="center"/>
      </w:pPr>
      <w:r>
        <w:t>Figure 1. Search Results Using PRISMA</w:t>
      </w:r>
    </w:p>
    <w:p w14:paraId="350DAA24" w14:textId="1B5333CB" w:rsidR="00D341E5" w:rsidRDefault="00D341E5" w:rsidP="00D341E5">
      <w:pPr>
        <w:pStyle w:val="Alishlah31text"/>
      </w:pPr>
    </w:p>
    <w:p w14:paraId="6844ECFC" w14:textId="6C25F5AE" w:rsidR="00D341E5" w:rsidRDefault="00D341E5" w:rsidP="00D341E5">
      <w:pPr>
        <w:pStyle w:val="Alishlah31text"/>
      </w:pPr>
      <w:r>
        <w:t>The findings from Vosviewer also demonstrate that there is still room for study linking geometry with the GeoGebra program, in addition to PRISMA (Figure 2). It is evident from the Vosviewer Network presentation that not much research has been done on creating and tying geometry together using the GeoGebra application.</w:t>
      </w:r>
    </w:p>
    <w:p w14:paraId="56DABD78" w14:textId="658758A3" w:rsidR="00D341E5" w:rsidRDefault="00675F53" w:rsidP="00675F53">
      <w:pPr>
        <w:pStyle w:val="Alishlah31text"/>
        <w:ind w:firstLine="0"/>
      </w:pPr>
      <w:r>
        <w:rPr>
          <w:noProof/>
        </w:rPr>
        <w:drawing>
          <wp:inline distT="0" distB="0" distL="0" distR="0" wp14:anchorId="146048B9" wp14:editId="14DA7098">
            <wp:extent cx="5654040" cy="2743200"/>
            <wp:effectExtent l="0" t="0" r="3810" b="0"/>
            <wp:docPr id="1095248228" name="Gambar 18" descr="A red and green cur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48228" name="Gambar 18" descr="A red and green curv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t="28368" r="1351"/>
                    <a:stretch>
                      <a:fillRect/>
                    </a:stretch>
                  </pic:blipFill>
                  <pic:spPr>
                    <a:xfrm>
                      <a:off x="0" y="0"/>
                      <a:ext cx="5654040" cy="2743200"/>
                    </a:xfrm>
                    <a:prstGeom prst="rect">
                      <a:avLst/>
                    </a:prstGeom>
                    <a:noFill/>
                    <a:ln>
                      <a:noFill/>
                    </a:ln>
                  </pic:spPr>
                </pic:pic>
              </a:graphicData>
            </a:graphic>
          </wp:inline>
        </w:drawing>
      </w:r>
    </w:p>
    <w:p w14:paraId="20A38242" w14:textId="77777777" w:rsidR="00D341E5" w:rsidRDefault="00D341E5" w:rsidP="00675F53">
      <w:pPr>
        <w:pStyle w:val="Alishlah31text"/>
        <w:jc w:val="center"/>
      </w:pPr>
      <w:r>
        <w:t>Figure 2. Vosviewer Results in the Form of a Network</w:t>
      </w:r>
    </w:p>
    <w:p w14:paraId="3BC8D367" w14:textId="77777777" w:rsidR="00D341E5" w:rsidRDefault="00D341E5" w:rsidP="00D341E5">
      <w:pPr>
        <w:pStyle w:val="Alishlah31text"/>
      </w:pPr>
    </w:p>
    <w:p w14:paraId="45D6661C" w14:textId="1B1E2DC5" w:rsidR="00D341E5" w:rsidRDefault="00D341E5" w:rsidP="00675F53">
      <w:pPr>
        <w:pStyle w:val="Alishlah31text"/>
      </w:pPr>
      <w:r>
        <w:lastRenderedPageBreak/>
        <w:t>Because it offers dynamic visuals that help students intuitively understand the links between geometric objects and their properties, GeoGebra has demonstrated a high level of effectiveness in facilitating learning about geometric transformations (Birgin &amp; Topuz, 2021; Dahal et al., 2022). GeoGebra assists students in connecting abstract mathematical ideas with tangible visual representations by enabling them to directly manipulate geometric objects. Additionally, GeoGebra supports a number of cutting-edge teaching strategies that allow for a more thorough and contextualized investigation of mathematical topics, including flipped learning, project-based learning, and problem-based learning (Kholid et al., 2022; Ishartono et al., 2022). According to Birgin and Uzun Yazıcı (2021), GeoGebra has been shown to improve students' academic performance and memory retention in collaborative learning.</w:t>
      </w:r>
    </w:p>
    <w:p w14:paraId="3062D9FF" w14:textId="6FCE9B08" w:rsidR="00D341E5" w:rsidRDefault="00D341E5" w:rsidP="00675F53">
      <w:pPr>
        <w:pStyle w:val="Alishlah31text"/>
      </w:pPr>
      <w:r>
        <w:t>In order to improve the educational process, a number of research have also looked into integrating GeoGebra with other technologies, like Augmented Reality (AR). According to research by Kounlaxay et al. (2021), using GeoGebra and AR together improved student engagement and aided in their understanding of increasingly difficult ideas through three-dimensional interactions. Additionally, GeoGebra had a big influence on how well kids were able to learn on their own. According to a research by Ishartono et al. (2022), a flipped learning strategy based on GeoGebra assisted pupils in managing their education more independently, particularly during the COVID-19 epidemic. In addition to promoting self-regulation, GeoGebra helped students learn in an engaging and dynamic setting, which decreased their arithmetic anxiety and boosted their confidence (Zetriuslita et al., 2020).</w:t>
      </w:r>
    </w:p>
    <w:p w14:paraId="5B51D8F6" w14:textId="77777777" w:rsidR="00D341E5" w:rsidRDefault="00D341E5" w:rsidP="00D341E5">
      <w:pPr>
        <w:pStyle w:val="Alishlah31text"/>
      </w:pPr>
      <w:r>
        <w:t>There are still a number of research gaps that need to be filled, though. Despite the enormous potential to enhance students' educational experiences, the majority of research has not examined the possibility of incorporating GeoGebra into regional cultural contexts (Birgin &amp; Topuz, 2021; Kholid et al., 2022). Additionally, certain locations have experienced difficulties implementing GeoGebra due to technical obstacles such inadequate teacher preparation and inadequate technology infrastructure (Dahal et al., 2022). In order to make the most out of GeoGebra, students who struggle with spatial vision also need extra assistance. Therefore, in order to fully realize GeoGebra's potential in promoting mathematics learning, more research is required to create more inclusive and contextual learning strategies.</w:t>
      </w:r>
    </w:p>
    <w:p w14:paraId="6DFD4096" w14:textId="77777777" w:rsidR="00D341E5" w:rsidRDefault="00D341E5" w:rsidP="00D341E5">
      <w:pPr>
        <w:pStyle w:val="Alishlah31text"/>
      </w:pPr>
    </w:p>
    <w:p w14:paraId="27A3B7ED" w14:textId="77777777" w:rsidR="00D341E5" w:rsidRPr="00675F53" w:rsidRDefault="00D341E5" w:rsidP="00675F53">
      <w:pPr>
        <w:pStyle w:val="Alishlah31text"/>
        <w:ind w:firstLine="0"/>
        <w:rPr>
          <w:i/>
          <w:iCs/>
        </w:rPr>
      </w:pPr>
      <w:r w:rsidRPr="00675F53">
        <w:rPr>
          <w:i/>
          <w:iCs/>
        </w:rPr>
        <w:t>Discussion</w:t>
      </w:r>
    </w:p>
    <w:p w14:paraId="2ADDFE6C" w14:textId="641E7226" w:rsidR="00D341E5" w:rsidRDefault="00D341E5" w:rsidP="00675F53">
      <w:pPr>
        <w:pStyle w:val="Alishlah31text"/>
      </w:pPr>
      <w:r>
        <w:t>According to the findings of this SLR, GeoGebra's application in mathematics education has drawn a lot of interest in the last ten years, mostly because of its capacity to facilitate dynamic visualization and creative teaching strategies. Research, primarily using quasi-experimental methods, consistently shows that GeoGebra improves pupils' academic performance and conceptual understanding. This implies that, especially when it comes to the subject of geometric transformations, GeoGebra can assist students in bridging the gap between mathematical abstraction and tangible visual experiences. This efficacy is consistent with research by Birgin &amp; Topuz (2021) and Dahal et al. (2022), which emphasizes how GeoGebra can help with the investigation of ideas like translation, rotation, reflection, and dilation by manipulating geometric objects directly.</w:t>
      </w:r>
    </w:p>
    <w:p w14:paraId="4DB6D7C5" w14:textId="7F0DF989" w:rsidR="00D341E5" w:rsidRDefault="00D341E5" w:rsidP="00675F53">
      <w:pPr>
        <w:pStyle w:val="Alishlah31text"/>
      </w:pPr>
      <w:r>
        <w:t>One of GeoGebra's main advantages is its support for a variety of cutting-edge teaching strategies, including project-based, problem-based, and flipped learning. With these methods, students can investigate mathematical ideas in a more relevant and contextualized manner. For instance, students can tackle real-world challenges and hone their critical thinking abilities through project-based learning using GeoGebra (Kholid et al., 2022). Particularly during the COVID-19 epidemic, GeoGebra has been demonstrated to assist students in developing self-regulation in a more autonomous and structured way through flipped learning (Ishartono et al., 2022). This demonstrates how easily GeoGebra may be incorporated into different teaching strategies.</w:t>
      </w:r>
    </w:p>
    <w:p w14:paraId="2FC7A3BA" w14:textId="562B05E3" w:rsidR="00D341E5" w:rsidRDefault="00D341E5" w:rsidP="00675F53">
      <w:pPr>
        <w:pStyle w:val="Alishlah31text"/>
      </w:pPr>
      <w:r>
        <w:t xml:space="preserve">GeoGebra improves students' attitudes toward mathematics in addition to fostering intellectual comprehension. Two commonly mentioned important factors include lowering learning anxiety and </w:t>
      </w:r>
      <w:r>
        <w:lastRenderedPageBreak/>
        <w:t>boosting students' self-confidence. According to a study by Zetriuslita et al. (2020), students can have a more interesting and fulfilling educational experience thanks to GeoGebra's interactive and captivating learning environment. This is significant since arithmetic fear frequently poses a significant obstacle to mastering the subject.</w:t>
      </w:r>
    </w:p>
    <w:p w14:paraId="08234171" w14:textId="4B8DBEE3" w:rsidR="00D341E5" w:rsidRDefault="00D341E5" w:rsidP="00675F53">
      <w:pPr>
        <w:pStyle w:val="Alishlah31text"/>
      </w:pPr>
      <w:r>
        <w:t>The range of teaching and learning is increased when GeoGebra is integrated with other technologies, such Augmented Reality (AR). For instance, Kounlaxay et al.'s research from 2021 showed how integrating AR with GeoGebra improved student engagement and helped them comprehend more difficult geometric ideas. Although there is still a dearth of research on this technology integration, these findings present important avenues for future investigation. For added context, GeoGebra can also offer geometric representations of traditional dance shapes and movements.</w:t>
      </w:r>
    </w:p>
    <w:p w14:paraId="44962FF9" w14:textId="17E0FA1C" w:rsidR="00D341E5" w:rsidRDefault="00D341E5" w:rsidP="00675F53">
      <w:pPr>
        <w:pStyle w:val="Alishlah31text"/>
      </w:pPr>
      <w:r>
        <w:t>Students' comprehension of mathematical ideas can be improved in a novel and efficient way by incorporating dance into mathematics instruction. This multidisciplinary approach makes abstract mathematical concepts more concrete and approachable by using the rhythmic and physical aspects of dance. Teachers may create a more dynamic and welcoming classroom that accommodates a range of learning preferences and cultural backgrounds by introducing dance. Through embodied learning, dance exercises can help students comprehend abstract mathematical ideas. The Coreo-Graph project, for instance, employs dance to investigate Eulerian pathways in graph theory, assisting students in comprehending difficult concepts through problem-solving exercises and physical movement (Calogera &amp; Penati, 2024). With an emphasis on rhythm and sequence—two essential components of mathematical thinking—dance and body expression are utilized in early childhood education to foster the sense of time (García &amp; Díez, 2022). It has been demonstrated that using dance as one of the many learning modalities improves learning results. Combining a variety of teaching tools has been demonstrated to enhance students' mathematical literacy and general academic achievement (Arofah et al., 2023; Sielfiana et al., 2023). The STEAM (Science, Technology, Engineering, Arts, Mathematics) approach, which stresses the incorporation of the arts into STEM education to promote creativity and critical thinking, is in line with the use of dance in education (Campollo-Urkiza &amp; Andreu, 2023).</w:t>
      </w:r>
    </w:p>
    <w:p w14:paraId="3B5650D5" w14:textId="2CE7D060" w:rsidR="00D341E5" w:rsidRDefault="00D341E5" w:rsidP="00675F53">
      <w:pPr>
        <w:pStyle w:val="Alishlah31text"/>
      </w:pPr>
      <w:r>
        <w:t>A rich multimodal learning experience can be created by incorporating traditional games and dances, like the Kethek Ogleng dance, into mathematics instruction to examine ideas like shapes, angles, and time (Asriyanto et al., 2022). Mathematical ideas like rhythm and geometry can be taught through dance. An investigation of the Kretek dance, for instance, showed that it incorporates mathematical features like geometric angles and counting rhythms, which might aid children in comprehending mathematical ideas in a fun and useful way (Suryani &amp; Zuliana, 2023). Although there are numerous advantages to incorporating dance into math classes, it is vital to take any drawbacks into account. These could include the requirement that math and dance teachers receive training, as well as the creation of suitable curriculum that successfully combine these subjects. Additionally, even though cultural relevance can boost engagement, it is imperative to make sure that cultural features are appropriately and respectfully included. All things considered, an interdisciplinary approach that blends dance and mathematics has the potential to produce a more successful and inclusive learning environment.</w:t>
      </w:r>
    </w:p>
    <w:p w14:paraId="1E5D632D" w14:textId="5431C24C" w:rsidR="00D341E5" w:rsidRDefault="00D341E5" w:rsidP="00675F53">
      <w:pPr>
        <w:pStyle w:val="Alishlah31text"/>
      </w:pPr>
      <w:r>
        <w:t>Nonetheless, there are a number of obstacles and deficiencies that must be filled. The potential of employing GeoGebra in regional cultural contexts has not been examined in the majority of studies. Students' learning can be enhanced and given greater significance when GeoGebra is integrated with particular cultural components, including traditional geometric patterns. To guarantee successful GeoGebra deployment, technical issues including inadequate teacher preparation and inadequate technology infrastructure in some areas must also be resolved. In order to make the most of GeoGebra, students with low spatial visualization skills need extra tactics, which highlights the need for more inclusive learning designs.</w:t>
      </w:r>
    </w:p>
    <w:p w14:paraId="25DE9EB5" w14:textId="7FB26C1E" w:rsidR="00D341E5" w:rsidRPr="004841C5" w:rsidRDefault="00D341E5" w:rsidP="00D341E5">
      <w:pPr>
        <w:pStyle w:val="Alishlah31text"/>
      </w:pPr>
      <w:r>
        <w:t xml:space="preserve">All things considered, GeoGebra has a lot of promise to promote more creative, engaging, and significant math education. How GeoGebra can be incorporated into culturally context-based learning and how learning designs can be modified to overcome current implementation obstacles require more </w:t>
      </w:r>
      <w:r>
        <w:lastRenderedPageBreak/>
        <w:t>investigation. GeoGebra may become a more relevant and inclusive tool to suit students' varied requirements in a variety of educational environments by filling in these areas.</w:t>
      </w:r>
    </w:p>
    <w:p w14:paraId="23D68925" w14:textId="77777777" w:rsidR="005B5AEC" w:rsidRPr="00723B12" w:rsidRDefault="005B5AEC" w:rsidP="002A02C2">
      <w:pPr>
        <w:pStyle w:val="Alishlah21heading1"/>
        <w:rPr>
          <w:rFonts w:eastAsia="Arial"/>
        </w:rPr>
      </w:pPr>
      <w:r w:rsidRPr="00723B12">
        <w:rPr>
          <w:rFonts w:eastAsia="Arial"/>
        </w:rPr>
        <w:t xml:space="preserve">CONCLUSION </w:t>
      </w:r>
    </w:p>
    <w:p w14:paraId="417A804A" w14:textId="77777777" w:rsidR="00675F53" w:rsidRDefault="00675F53" w:rsidP="00675F53">
      <w:pPr>
        <w:pStyle w:val="Alishlah31text"/>
      </w:pPr>
      <w:r w:rsidRPr="00675F53">
        <w:t>It has been shown that using GeoGebra to teach mathematics, especially geometric transformations, significantly improves pupils' comprehension of abstract ideas. Students can more easily connect mathematical ideas with tangible visual experiences thanks to GeoGebra's dynamic representations. Improvements in conceptual understanding, academic accomplishment, and student motivation for learning mathematics are consistently reported by the studies examined in this review. Additionally, GeoGebra offers a more relevant and contextual learning experience by supporting a number of cutting-edge methodologies like project-based learning, problem-based learning, and flipped learning.</w:t>
      </w:r>
    </w:p>
    <w:p w14:paraId="5B1F3F09" w14:textId="77777777" w:rsidR="00675F53" w:rsidRDefault="00675F53" w:rsidP="00675F53">
      <w:pPr>
        <w:pStyle w:val="Alishlah31text"/>
      </w:pPr>
      <w:r w:rsidRPr="00675F53">
        <w:t>Additionally, it has been demonstrated that GeoGebra fosters an engaging and participatory learning environment, which lowers arithmetic fear and boosts confidence in pupils. The potential of GeoGebra to create more immersive and captivating learning experiences is increased by its ability to interface with other technologies, such as augmented reality. However, there are still a number of issues with GeoGebra's implementation, including gaps in its use for kids with poor spatial visualization abilities, a lack of teacher training, and a lack of technological infrastructure.</w:t>
      </w:r>
    </w:p>
    <w:p w14:paraId="2B41060A" w14:textId="77777777" w:rsidR="00675F53" w:rsidRDefault="00675F53" w:rsidP="00675F53">
      <w:pPr>
        <w:pStyle w:val="Alishlah31text"/>
      </w:pPr>
      <w:r w:rsidRPr="00675F53">
        <w:t>Additionally, nothing is known about how GeoGebra might be incorporated into regional cultural contexts. Future studies could concentrate on creating learning designs that are more inclusive and culturally sensitive in order to optimize GeoGebra's ability to meet the demands of a wide range of students. Therefore, GeoGebra has a lot of potential to develop into a learning tool that promotes engagement, motivation, and relevance in mathematics learning across a range of educational situations in addition to supporting academic accomplishment.</w:t>
      </w:r>
    </w:p>
    <w:p w14:paraId="0168E5BF" w14:textId="77777777" w:rsidR="00675F53" w:rsidRDefault="00675F53" w:rsidP="00675F53">
      <w:pPr>
        <w:pStyle w:val="Alishlah31text"/>
        <w:ind w:firstLine="0"/>
      </w:pPr>
    </w:p>
    <w:p w14:paraId="610A804F" w14:textId="77777777" w:rsidR="004A352C" w:rsidRDefault="002B31FD" w:rsidP="00675F53">
      <w:pPr>
        <w:pStyle w:val="Alishlah31text"/>
        <w:ind w:firstLine="0"/>
      </w:pPr>
      <w:r>
        <w:rPr>
          <w:b/>
        </w:rPr>
        <w:t>Acknowledgments:</w:t>
      </w:r>
      <w:r w:rsidRPr="00234749">
        <w:t xml:space="preserve"> </w:t>
      </w:r>
    </w:p>
    <w:p w14:paraId="18B2C526" w14:textId="77777777" w:rsidR="0087165C" w:rsidRDefault="0087165C" w:rsidP="002B31FD">
      <w:pPr>
        <w:pStyle w:val="Alishlah62Acknowledgments"/>
        <w:rPr>
          <w:sz w:val="20"/>
          <w:szCs w:val="22"/>
        </w:rPr>
      </w:pPr>
      <w:r w:rsidRPr="0087165C">
        <w:rPr>
          <w:sz w:val="20"/>
          <w:szCs w:val="22"/>
        </w:rPr>
        <w:t>The author gratefully acknowledges that the publication of this article was made possible by the "Beasiswa Penyelesaian Studi Program Doktor Tahun 2025", awarded by "Pusat Pembiayaan dan Asesmen Pendidikan Tinggi (PPAPT)", Ministry of Higher Education, Science, and Technology of Indonesia (Kemendiktisintek).</w:t>
      </w:r>
    </w:p>
    <w:p w14:paraId="604122DD" w14:textId="6C411AEC" w:rsidR="002B31FD" w:rsidRDefault="002B31FD" w:rsidP="002B31FD">
      <w:pPr>
        <w:pStyle w:val="Alishlah62Acknowledgments"/>
        <w:rPr>
          <w:rFonts w:eastAsia="Arial"/>
        </w:rPr>
      </w:pPr>
      <w:r w:rsidRPr="004841C5">
        <w:rPr>
          <w:b/>
        </w:rPr>
        <w:t>Conflicts of Interest:</w:t>
      </w:r>
      <w:r w:rsidRPr="004841C5">
        <w:t xml:space="preserve"> The authors declare no conflict of interest.</w:t>
      </w:r>
    </w:p>
    <w:p w14:paraId="7DEE591F" w14:textId="77777777" w:rsidR="00012846" w:rsidRDefault="00012846" w:rsidP="002B31FD">
      <w:pPr>
        <w:pStyle w:val="Alishlah21heading1"/>
        <w:numPr>
          <w:ilvl w:val="0"/>
          <w:numId w:val="0"/>
        </w:numPr>
        <w:rPr>
          <w:rFonts w:eastAsia="Arial"/>
        </w:rPr>
      </w:pPr>
    </w:p>
    <w:p w14:paraId="5F625869" w14:textId="471EA6B5" w:rsidR="002B31FD" w:rsidRDefault="002B31FD" w:rsidP="002B31FD">
      <w:pPr>
        <w:pStyle w:val="Alishlah21heading1"/>
        <w:numPr>
          <w:ilvl w:val="0"/>
          <w:numId w:val="0"/>
        </w:numPr>
      </w:pPr>
      <w:r>
        <w:t>REFERENCES</w:t>
      </w:r>
    </w:p>
    <w:p w14:paraId="5C54A601"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Açıkgül, K., &amp; Aslaner, R. (2020). Effects of Geogebra supported micro teaching applications and technological pedagogical content knowledge (TPACK) game practices on the TPACK levels of prospective teachers. Education and Information Technologies, 25(3), 2023-2047. </w:t>
      </w:r>
      <w:hyperlink r:id="rId14" w:history="1">
        <w:r w:rsidRPr="00012846">
          <w:rPr>
            <w:rFonts w:ascii="Palatino Linotype" w:eastAsia="Calibri" w:hAnsi="Palatino Linotype" w:cs="Times New Roman"/>
            <w:color w:val="0563C1"/>
            <w:kern w:val="2"/>
            <w:sz w:val="20"/>
            <w:szCs w:val="20"/>
            <w:u w:val="single"/>
            <w:lang w:val="id-ID"/>
            <w14:ligatures w14:val="standardContextual"/>
          </w:rPr>
          <w:t>https://doi.org/10.1007/s10639-019-10044-y</w:t>
        </w:r>
      </w:hyperlink>
    </w:p>
    <w:p w14:paraId="36714B6E"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Alabdulaziz, M. S., Aldossary, S. M., Alyahya, S. A., &amp; Althubiti, H. M. (2021). The effectiveness of the GeoGebra Programme in the development of academic achievement and survival of the learning impact of the mathematics among secondary stage students. Education and Information Technologies, 26, 2685-2713. </w:t>
      </w:r>
      <w:hyperlink r:id="rId15" w:history="1">
        <w:r w:rsidRPr="00012846">
          <w:rPr>
            <w:rFonts w:ascii="Palatino Linotype" w:eastAsia="Calibri" w:hAnsi="Palatino Linotype" w:cs="Times New Roman"/>
            <w:color w:val="0563C1"/>
            <w:kern w:val="2"/>
            <w:sz w:val="20"/>
            <w:szCs w:val="20"/>
            <w:u w:val="single"/>
            <w:lang w:val="id-ID"/>
            <w14:ligatures w14:val="standardContextual"/>
          </w:rPr>
          <w:t>https://doi.org/10.1007/s10639-020-10371-5</w:t>
        </w:r>
      </w:hyperlink>
    </w:p>
    <w:p w14:paraId="33679759" w14:textId="7524005A" w:rsidR="00012846" w:rsidRPr="00634B99" w:rsidRDefault="00012846" w:rsidP="00634B99">
      <w:pPr>
        <w:spacing w:after="0"/>
        <w:ind w:left="567" w:hanging="567"/>
        <w:jc w:val="both"/>
      </w:pPr>
      <w:r w:rsidRPr="00012846">
        <w:rPr>
          <w:rFonts w:ascii="Palatino Linotype" w:eastAsia="Times New Roman" w:hAnsi="Palatino Linotype" w:cs="Times New Roman"/>
          <w:color w:val="000000"/>
          <w:sz w:val="20"/>
          <w:szCs w:val="20"/>
          <w:lang w:val="id-ID" w:eastAsia="id-ID"/>
        </w:rPr>
        <w:t xml:space="preserve">Arias García, J. R., &amp; Fernández Díez, B. (2022). </w:t>
      </w:r>
      <w:r w:rsidRPr="00012846">
        <w:rPr>
          <w:rFonts w:ascii="Palatino Linotype" w:eastAsia="Times New Roman" w:hAnsi="Palatino Linotype" w:cs="Times New Roman"/>
          <w:i/>
          <w:iCs/>
          <w:color w:val="000000"/>
          <w:sz w:val="20"/>
          <w:szCs w:val="20"/>
          <w:lang w:val="id-ID" w:eastAsia="id-ID"/>
        </w:rPr>
        <w:t>Magnitud “tiempo” en Educación Infantil: su comprensión a partir de conexiones de la Expresión Corporal y la Danza con las matemáticas (Magnitude “time” in pre-school education: its understanding from connections of Body Expression and Dance with mathema</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45</w:t>
      </w:r>
      <w:r w:rsidRPr="00012846">
        <w:rPr>
          <w:rFonts w:ascii="Palatino Linotype" w:eastAsia="Times New Roman" w:hAnsi="Palatino Linotype" w:cs="Times New Roman"/>
          <w:color w:val="000000"/>
          <w:sz w:val="20"/>
          <w:szCs w:val="20"/>
          <w:lang w:val="id-ID" w:eastAsia="id-ID"/>
        </w:rPr>
        <w:t xml:space="preserve">, 64–74. </w:t>
      </w:r>
      <w:hyperlink r:id="rId16" w:history="1">
        <w:r w:rsidRPr="00012846">
          <w:rPr>
            <w:rFonts w:ascii="Palatino Linotype" w:eastAsia="Times New Roman" w:hAnsi="Palatino Linotype" w:cs="Times New Roman"/>
            <w:color w:val="000000"/>
            <w:sz w:val="20"/>
            <w:szCs w:val="20"/>
            <w:u w:val="single"/>
            <w:lang w:val="id-ID" w:eastAsia="id-ID"/>
          </w:rPr>
          <w:t>https://doi.org/10.47197/retos.v44i0.91451</w:t>
        </w:r>
      </w:hyperlink>
      <w:r w:rsidRPr="00012846">
        <w:rPr>
          <w:rFonts w:ascii="Palatino Linotype" w:eastAsia="Times New Roman" w:hAnsi="Palatino Linotype" w:cs="Times New Roman"/>
          <w:color w:val="000000"/>
          <w:sz w:val="20"/>
          <w:szCs w:val="20"/>
          <w:lang w:val="id-ID" w:eastAsia="id-ID"/>
        </w:rPr>
        <w:t xml:space="preserve"> </w:t>
      </w:r>
    </w:p>
    <w:p w14:paraId="282609C0"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lastRenderedPageBreak/>
        <w:t xml:space="preserve">Arofah, I., Ningsi, B. A. wisuda, &amp; Sessu, A. (2023). The Influence Of Learning Media And Learning Models On Learning Outcomes Through Mathematics Literacy Ability. </w:t>
      </w:r>
      <w:r w:rsidRPr="00012846">
        <w:rPr>
          <w:rFonts w:ascii="Palatino Linotype" w:eastAsia="Times New Roman" w:hAnsi="Palatino Linotype" w:cs="Times New Roman"/>
          <w:i/>
          <w:iCs/>
          <w:color w:val="000000"/>
          <w:sz w:val="20"/>
          <w:szCs w:val="20"/>
          <w:lang w:val="id-ID" w:eastAsia="id-ID"/>
        </w:rPr>
        <w:t>International Journal of Business, Law, and Education</w:t>
      </w:r>
      <w:r w:rsidRPr="00012846">
        <w:rPr>
          <w:rFonts w:ascii="Palatino Linotype" w:eastAsia="Times New Roman" w:hAnsi="Palatino Linotype" w:cs="Times New Roman"/>
          <w:color w:val="000000"/>
          <w:sz w:val="20"/>
          <w:szCs w:val="20"/>
          <w:lang w:val="id-ID" w:eastAsia="id-ID"/>
        </w:rPr>
        <w:t>. https://doi.org/10.56442/ijble.v4i2.340</w:t>
      </w:r>
    </w:p>
    <w:p w14:paraId="5650CB1D"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Asare, J. T., &amp; Atteh, E. (2022). The impact of using GeoGebra software in teaching and learning transformation (rigid motion) on senior high school students’ achievement. </w:t>
      </w:r>
      <w:r w:rsidRPr="00012846">
        <w:rPr>
          <w:rFonts w:ascii="Palatino Linotype" w:eastAsia="Calibri" w:hAnsi="Palatino Linotype" w:cs="Times New Roman"/>
          <w:i/>
          <w:iCs/>
          <w:kern w:val="2"/>
          <w:sz w:val="20"/>
          <w:szCs w:val="20"/>
          <w:lang w:val="id-ID"/>
          <w14:ligatures w14:val="standardContextual"/>
        </w:rPr>
        <w:t>Asian Journal of Education and Social Studies</w:t>
      </w:r>
      <w:r w:rsidRPr="00012846">
        <w:rPr>
          <w:rFonts w:ascii="Palatino Linotype" w:eastAsia="Calibri" w:hAnsi="Palatino Linotype" w:cs="Times New Roman"/>
          <w:kern w:val="2"/>
          <w:sz w:val="20"/>
          <w:szCs w:val="20"/>
          <w:lang w:val="id-ID"/>
          <w14:ligatures w14:val="standardContextual"/>
        </w:rPr>
        <w:t>. https://doi.org/10.9734/ajess/2022/v33i130784</w:t>
      </w:r>
    </w:p>
    <w:p w14:paraId="748CF27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Asriyanto, A. M. A., Muhibbin, A., Widyasari, C., Prastiwi, Y., &amp; Ramawati, L. E. (2022). Etnomathematic Exploration Study on The Traditional Dance of Kethek Ogleng. </w:t>
      </w:r>
      <w:r w:rsidRPr="00012846">
        <w:rPr>
          <w:rFonts w:ascii="Palatino Linotype" w:eastAsia="Times New Roman" w:hAnsi="Palatino Linotype" w:cs="Times New Roman"/>
          <w:i/>
          <w:iCs/>
          <w:color w:val="000000"/>
          <w:sz w:val="20"/>
          <w:szCs w:val="20"/>
          <w:lang w:val="id-ID" w:eastAsia="id-ID"/>
        </w:rPr>
        <w:t>Jurnal Pedagogi Dan Pembelajaran</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5</w:t>
      </w:r>
      <w:r w:rsidRPr="00012846">
        <w:rPr>
          <w:rFonts w:ascii="Palatino Linotype" w:eastAsia="Times New Roman" w:hAnsi="Palatino Linotype" w:cs="Times New Roman"/>
          <w:color w:val="000000"/>
          <w:sz w:val="20"/>
          <w:szCs w:val="20"/>
          <w:lang w:val="id-ID" w:eastAsia="id-ID"/>
        </w:rPr>
        <w:t xml:space="preserve">(2), 293–302. </w:t>
      </w:r>
      <w:hyperlink r:id="rId17" w:history="1">
        <w:r w:rsidRPr="00012846">
          <w:rPr>
            <w:rFonts w:ascii="Palatino Linotype" w:eastAsia="Times New Roman" w:hAnsi="Palatino Linotype" w:cs="Times New Roman"/>
            <w:color w:val="000000"/>
            <w:sz w:val="20"/>
            <w:szCs w:val="20"/>
            <w:u w:val="single"/>
            <w:lang w:val="id-ID" w:eastAsia="id-ID"/>
          </w:rPr>
          <w:t>https://doi.org/10.23887/jp2.v5i2.48695</w:t>
        </w:r>
      </w:hyperlink>
    </w:p>
    <w:p w14:paraId="5E3FDF9B"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Birgin, O., &amp; Topuz, F. (2021). Effect of the GeoGebra software-supported collaborative learning environment on seventh grade students’ geometry achievement, retention and attitudes. </w:t>
      </w:r>
      <w:r w:rsidRPr="00012846">
        <w:rPr>
          <w:rFonts w:ascii="Palatino Linotype" w:eastAsia="Calibri" w:hAnsi="Palatino Linotype" w:cs="Times New Roman"/>
          <w:i/>
          <w:iCs/>
          <w:kern w:val="2"/>
          <w:sz w:val="20"/>
          <w:szCs w:val="20"/>
          <w:lang w:val="id-ID"/>
          <w14:ligatures w14:val="standardContextual"/>
        </w:rPr>
        <w:t>The Journal of Educational Research</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114</w:t>
      </w:r>
      <w:r w:rsidRPr="00012846">
        <w:rPr>
          <w:rFonts w:ascii="Palatino Linotype" w:eastAsia="Calibri" w:hAnsi="Palatino Linotype" w:cs="Times New Roman"/>
          <w:kern w:val="2"/>
          <w:sz w:val="20"/>
          <w:szCs w:val="20"/>
          <w:lang w:val="id-ID"/>
          <w14:ligatures w14:val="standardContextual"/>
        </w:rPr>
        <w:t xml:space="preserve">(5), 474-494. </w:t>
      </w:r>
      <w:hyperlink r:id="rId18" w:history="1">
        <w:r w:rsidRPr="00012846">
          <w:rPr>
            <w:rFonts w:ascii="Palatino Linotype" w:eastAsia="Calibri" w:hAnsi="Palatino Linotype" w:cs="Times New Roman"/>
            <w:color w:val="0563C1"/>
            <w:kern w:val="2"/>
            <w:sz w:val="20"/>
            <w:szCs w:val="20"/>
            <w:u w:val="single"/>
            <w:lang w:val="id-ID"/>
            <w14:ligatures w14:val="standardContextual"/>
          </w:rPr>
          <w:t>https://doi.org/10.1080/00220671.2021.1983505</w:t>
        </w:r>
      </w:hyperlink>
    </w:p>
    <w:p w14:paraId="537225A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Birgin, O., &amp; Uzun Yazıcı, K. (2021). The effect of GeoGebra software–supported mathematics instruction on eighth‐grade students' conceptual understanding and retention. </w:t>
      </w:r>
      <w:r w:rsidRPr="00012846">
        <w:rPr>
          <w:rFonts w:ascii="Palatino Linotype" w:eastAsia="Calibri" w:hAnsi="Palatino Linotype" w:cs="Times New Roman"/>
          <w:i/>
          <w:iCs/>
          <w:kern w:val="2"/>
          <w:sz w:val="20"/>
          <w:szCs w:val="20"/>
          <w:lang w:val="id-ID"/>
          <w14:ligatures w14:val="standardContextual"/>
        </w:rPr>
        <w:t>Journal of Computer Assisted Learning</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37</w:t>
      </w:r>
      <w:r w:rsidRPr="00012846">
        <w:rPr>
          <w:rFonts w:ascii="Palatino Linotype" w:eastAsia="Calibri" w:hAnsi="Palatino Linotype" w:cs="Times New Roman"/>
          <w:kern w:val="2"/>
          <w:sz w:val="20"/>
          <w:szCs w:val="20"/>
          <w:lang w:val="id-ID"/>
          <w14:ligatures w14:val="standardContextual"/>
        </w:rPr>
        <w:t xml:space="preserve">(4), 925-939. </w:t>
      </w:r>
      <w:hyperlink r:id="rId19" w:history="1">
        <w:r w:rsidRPr="00012846">
          <w:rPr>
            <w:rFonts w:ascii="Palatino Linotype" w:eastAsia="Calibri" w:hAnsi="Palatino Linotype" w:cs="Times New Roman"/>
            <w:color w:val="0563C1"/>
            <w:kern w:val="2"/>
            <w:sz w:val="20"/>
            <w:szCs w:val="20"/>
            <w:u w:val="single"/>
            <w:lang w:val="id-ID"/>
            <w14:ligatures w14:val="standardContextual"/>
          </w:rPr>
          <w:t>https://doi.org/10.1111/jcal.12532</w:t>
        </w:r>
      </w:hyperlink>
    </w:p>
    <w:p w14:paraId="5D1C8563"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Brown, L., &amp; Wilson, M. (2019). The role of geometric transformations in developing students' geometric thinking. </w:t>
      </w:r>
      <w:r w:rsidRPr="00012846">
        <w:rPr>
          <w:rFonts w:ascii="Palatino Linotype" w:eastAsia="Calibri" w:hAnsi="Palatino Linotype" w:cs="Times New Roman"/>
          <w:i/>
          <w:iCs/>
          <w:kern w:val="2"/>
          <w:sz w:val="20"/>
          <w:szCs w:val="20"/>
          <w:lang w:val="id-ID"/>
          <w14:ligatures w14:val="standardContextual"/>
        </w:rPr>
        <w:t>Educational Studies in Mathematics, 101</w:t>
      </w:r>
      <w:r w:rsidRPr="00012846">
        <w:rPr>
          <w:rFonts w:ascii="Palatino Linotype" w:eastAsia="Calibri" w:hAnsi="Palatino Linotype" w:cs="Times New Roman"/>
          <w:kern w:val="2"/>
          <w:sz w:val="20"/>
          <w:szCs w:val="20"/>
          <w:lang w:val="id-ID"/>
          <w14:ligatures w14:val="standardContextual"/>
        </w:rPr>
        <w:t>(2), 123-140. https://doi.org/10.1007/s10649-019-09894-2</w:t>
      </w:r>
    </w:p>
    <w:p w14:paraId="2A360680"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Bwalya, D. (2019). Influence of GeoGebra on students’ achievement in geometric transformations and attitude towards learning mathematics with technology. </w:t>
      </w:r>
      <w:r w:rsidRPr="00012846">
        <w:rPr>
          <w:rFonts w:ascii="Palatino Linotype" w:eastAsia="Calibri" w:hAnsi="Palatino Linotype" w:cs="Times New Roman"/>
          <w:i/>
          <w:iCs/>
          <w:kern w:val="2"/>
          <w:sz w:val="20"/>
          <w:szCs w:val="20"/>
          <w:lang w:val="id-ID"/>
          <w14:ligatures w14:val="standardContextual"/>
        </w:rPr>
        <w:t>Journal of Education and Practice, 10</w:t>
      </w:r>
      <w:r w:rsidRPr="00012846">
        <w:rPr>
          <w:rFonts w:ascii="Palatino Linotype" w:eastAsia="Calibri" w:hAnsi="Palatino Linotype" w:cs="Times New Roman"/>
          <w:kern w:val="2"/>
          <w:sz w:val="20"/>
          <w:szCs w:val="20"/>
          <w:lang w:val="id-ID"/>
          <w14:ligatures w14:val="standardContextual"/>
        </w:rPr>
        <w:t xml:space="preserve">(13). </w:t>
      </w:r>
      <w:hyperlink r:id="rId20" w:history="1">
        <w:r w:rsidRPr="00012846">
          <w:rPr>
            <w:rFonts w:ascii="Palatino Linotype" w:eastAsia="Calibri" w:hAnsi="Palatino Linotype" w:cs="Times New Roman"/>
            <w:color w:val="0563C1"/>
            <w:kern w:val="2"/>
            <w:sz w:val="20"/>
            <w:szCs w:val="20"/>
            <w:u w:val="single"/>
            <w:lang w:val="id-ID"/>
            <w14:ligatures w14:val="standardContextual"/>
          </w:rPr>
          <w:t>https://doi.org/10.7176/JEP/10-13-04</w:t>
        </w:r>
      </w:hyperlink>
    </w:p>
    <w:p w14:paraId="75A426AD"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Calogera, T., &amp; Penati, T. (2024). </w:t>
      </w:r>
      <w:r w:rsidRPr="00012846">
        <w:rPr>
          <w:rFonts w:ascii="Palatino Linotype" w:eastAsia="Times New Roman" w:hAnsi="Palatino Linotype" w:cs="Times New Roman"/>
          <w:i/>
          <w:iCs/>
          <w:color w:val="000000"/>
          <w:sz w:val="20"/>
          <w:szCs w:val="20"/>
          <w:lang w:val="id-ID" w:eastAsia="id-ID"/>
        </w:rPr>
        <w:t>Coreo-Graph: un progetto di teoria dei grafi e danza</w:t>
      </w:r>
      <w:r w:rsidRPr="00012846">
        <w:rPr>
          <w:rFonts w:ascii="Palatino Linotype" w:eastAsia="Times New Roman" w:hAnsi="Palatino Linotype" w:cs="Times New Roman"/>
          <w:color w:val="000000"/>
          <w:sz w:val="20"/>
          <w:szCs w:val="20"/>
          <w:lang w:val="id-ID" w:eastAsia="id-ID"/>
        </w:rPr>
        <w:t xml:space="preserve">. </w:t>
      </w:r>
      <w:hyperlink r:id="rId21" w:history="1">
        <w:r w:rsidRPr="00012846">
          <w:rPr>
            <w:rFonts w:ascii="Palatino Linotype" w:eastAsia="Times New Roman" w:hAnsi="Palatino Linotype" w:cs="Times New Roman"/>
            <w:color w:val="000000"/>
            <w:sz w:val="20"/>
            <w:szCs w:val="20"/>
            <w:u w:val="single"/>
            <w:lang w:val="id-ID" w:eastAsia="id-ID"/>
          </w:rPr>
          <w:t>https://doi.org/10.48550/arxiv.2410.09589</w:t>
        </w:r>
      </w:hyperlink>
    </w:p>
    <w:p w14:paraId="356CB44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Campollo-Urkiza, A., &amp; Cremades Andreu, R. (2023). Educación musical y competencias STEM en primaria: una propuesta desde el aula de música. </w:t>
      </w:r>
      <w:r w:rsidRPr="00012846">
        <w:rPr>
          <w:rFonts w:ascii="Palatino Linotype" w:eastAsia="Times New Roman" w:hAnsi="Palatino Linotype" w:cs="Times New Roman"/>
          <w:i/>
          <w:iCs/>
          <w:color w:val="000000"/>
          <w:sz w:val="20"/>
          <w:szCs w:val="20"/>
          <w:lang w:val="id-ID" w:eastAsia="id-ID"/>
        </w:rPr>
        <w:t>Musica Hodie</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23</w:t>
      </w:r>
      <w:r w:rsidRPr="00012846">
        <w:rPr>
          <w:rFonts w:ascii="Palatino Linotype" w:eastAsia="Times New Roman" w:hAnsi="Palatino Linotype" w:cs="Times New Roman"/>
          <w:color w:val="000000"/>
          <w:sz w:val="20"/>
          <w:szCs w:val="20"/>
          <w:lang w:val="id-ID" w:eastAsia="id-ID"/>
        </w:rPr>
        <w:t>. https://doi.org/10.5216/mh.v23.74210</w:t>
      </w:r>
    </w:p>
    <w:p w14:paraId="264DFF1C"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Condori, A. P., Velazco, D. J. M., &amp; Fernández, R. A. (2020). GeoGebra as a technological tool in the process of teaching and learning geometry. In </w:t>
      </w:r>
      <w:r w:rsidRPr="00012846">
        <w:rPr>
          <w:rFonts w:ascii="Palatino Linotype" w:eastAsia="Calibri" w:hAnsi="Palatino Linotype" w:cs="Times New Roman"/>
          <w:i/>
          <w:iCs/>
          <w:kern w:val="2"/>
          <w:sz w:val="20"/>
          <w:szCs w:val="20"/>
          <w:lang w:val="id-ID"/>
          <w14:ligatures w14:val="standardContextual"/>
        </w:rPr>
        <w:t>Proceedings of Advances in Intelligent Systems and Computing</w:t>
      </w:r>
      <w:r w:rsidRPr="00012846">
        <w:rPr>
          <w:rFonts w:ascii="Palatino Linotype" w:eastAsia="Calibri" w:hAnsi="Palatino Linotype" w:cs="Times New Roman"/>
          <w:kern w:val="2"/>
          <w:sz w:val="20"/>
          <w:szCs w:val="20"/>
          <w:lang w:val="id-ID"/>
          <w14:ligatures w14:val="standardContextual"/>
        </w:rPr>
        <w:t>. https://doi.org/10.1007/978-3-030-62833-8_20</w:t>
      </w:r>
    </w:p>
    <w:p w14:paraId="1940A8CB"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Condori, A. P., Velazco, D. J. M., &amp; Fernández, R. A. (2020). GeoGebra as a technological tool in the process of teaching and learning geometry. In </w:t>
      </w:r>
      <w:r w:rsidRPr="00012846">
        <w:rPr>
          <w:rFonts w:ascii="Palatino Linotype" w:eastAsia="Calibri" w:hAnsi="Palatino Linotype" w:cs="Times New Roman"/>
          <w:i/>
          <w:iCs/>
          <w:kern w:val="2"/>
          <w:sz w:val="20"/>
          <w:szCs w:val="20"/>
          <w:lang w:val="id-ID"/>
          <w14:ligatures w14:val="standardContextual"/>
        </w:rPr>
        <w:t>Proceedings of Advances in Intelligent Systems and Computing, 6</w:t>
      </w:r>
      <w:r w:rsidRPr="00012846">
        <w:rPr>
          <w:rFonts w:ascii="Palatino Linotype" w:eastAsia="Calibri" w:hAnsi="Palatino Linotype" w:cs="Times New Roman"/>
          <w:kern w:val="2"/>
          <w:sz w:val="20"/>
          <w:szCs w:val="20"/>
          <w:lang w:val="id-ID"/>
          <w14:ligatures w14:val="standardContextual"/>
        </w:rPr>
        <w:t>, 258-271. https://doi.org/10.1007/978-3-030-62833-8_20</w:t>
      </w:r>
    </w:p>
    <w:p w14:paraId="6098427E"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Dahal, N., Pant, B. P., Shrestha, I. M., &amp; Manandhar, N. K. (2022). Use of GeoGebra in teaching and learning geometric transformation in school mathematics. </w:t>
      </w:r>
      <w:r w:rsidRPr="00012846">
        <w:rPr>
          <w:rFonts w:ascii="Palatino Linotype" w:eastAsia="Calibri" w:hAnsi="Palatino Linotype" w:cs="Times New Roman"/>
          <w:i/>
          <w:iCs/>
          <w:kern w:val="2"/>
          <w:sz w:val="20"/>
          <w:szCs w:val="20"/>
          <w:lang w:val="id-ID"/>
          <w14:ligatures w14:val="standardContextual"/>
        </w:rPr>
        <w:t>International Journal of Interactive Mobile Technologies</w:t>
      </w:r>
      <w:r w:rsidRPr="00012846">
        <w:rPr>
          <w:rFonts w:ascii="Palatino Linotype" w:eastAsia="Calibri" w:hAnsi="Palatino Linotype" w:cs="Times New Roman"/>
          <w:kern w:val="2"/>
          <w:sz w:val="20"/>
          <w:szCs w:val="20"/>
          <w:lang w:val="id-ID"/>
          <w14:ligatures w14:val="standardContextual"/>
        </w:rPr>
        <w:t>. https://doi.org/10.3991/ijim.v16i08.29575</w:t>
      </w:r>
    </w:p>
    <w:p w14:paraId="4C3BD84E"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Dahal, N., Pant, B. P., Shrestha, I. M., &amp; Manandhar, N. K. (2022). Use of GeoGebra in teaching and learning geometric transformation in school mathematics. </w:t>
      </w:r>
      <w:r w:rsidRPr="00012846">
        <w:rPr>
          <w:rFonts w:ascii="Palatino Linotype" w:eastAsia="Calibri" w:hAnsi="Palatino Linotype" w:cs="Times New Roman"/>
          <w:i/>
          <w:iCs/>
          <w:kern w:val="2"/>
          <w:sz w:val="20"/>
          <w:szCs w:val="20"/>
          <w:lang w:val="id-ID"/>
          <w14:ligatures w14:val="standardContextual"/>
        </w:rPr>
        <w:t>International Journal of Interactive Mobile Technologies, 16</w:t>
      </w:r>
      <w:r w:rsidRPr="00012846">
        <w:rPr>
          <w:rFonts w:ascii="Palatino Linotype" w:eastAsia="Calibri" w:hAnsi="Palatino Linotype" w:cs="Times New Roman"/>
          <w:kern w:val="2"/>
          <w:sz w:val="20"/>
          <w:szCs w:val="20"/>
          <w:lang w:val="id-ID"/>
          <w14:ligatures w14:val="standardContextual"/>
        </w:rPr>
        <w:t>(8), 65-78. https://doi.org/10.3991/ijim.v16i08.29575</w:t>
      </w:r>
    </w:p>
    <w:p w14:paraId="2EE5FDD5"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Davis, K., &amp; Lee, H. (2021). Integrating technology in teaching geometric transformations: Effects on students' achievement and attitudes. </w:t>
      </w:r>
      <w:r w:rsidRPr="00012846">
        <w:rPr>
          <w:rFonts w:ascii="Palatino Linotype" w:eastAsia="Calibri" w:hAnsi="Palatino Linotype" w:cs="Times New Roman"/>
          <w:i/>
          <w:iCs/>
          <w:kern w:val="2"/>
          <w:sz w:val="20"/>
          <w:szCs w:val="20"/>
          <w:lang w:val="id-ID"/>
          <w14:ligatures w14:val="standardContextual"/>
        </w:rPr>
        <w:t>Journal of Computers in Mathematics and Science Teaching, 40</w:t>
      </w:r>
      <w:r w:rsidRPr="00012846">
        <w:rPr>
          <w:rFonts w:ascii="Palatino Linotype" w:eastAsia="Calibri" w:hAnsi="Palatino Linotype" w:cs="Times New Roman"/>
          <w:kern w:val="2"/>
          <w:sz w:val="20"/>
          <w:szCs w:val="20"/>
          <w:lang w:val="id-ID"/>
          <w14:ligatures w14:val="standardContextual"/>
        </w:rPr>
        <w:t>(3), 245-262. https://doi.org/10.1007/s11423-021-09987-3</w:t>
      </w:r>
    </w:p>
    <w:p w14:paraId="48479185"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Dogruer, S. S., &amp; Akyuz, D. (2020). Mathematical practices of eighth graders about 3D shapes in an argumentation, technology, and design-based classroom environment. </w:t>
      </w:r>
      <w:r w:rsidRPr="00012846">
        <w:rPr>
          <w:rFonts w:ascii="Palatino Linotype" w:eastAsia="Calibri" w:hAnsi="Palatino Linotype" w:cs="Times New Roman"/>
          <w:i/>
          <w:iCs/>
          <w:kern w:val="2"/>
          <w:sz w:val="20"/>
          <w:szCs w:val="20"/>
          <w:lang w:val="id-ID"/>
          <w14:ligatures w14:val="standardContextual"/>
        </w:rPr>
        <w:t>International Journal of Science and Mathematics Education</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18</w:t>
      </w:r>
      <w:r w:rsidRPr="00012846">
        <w:rPr>
          <w:rFonts w:ascii="Palatino Linotype" w:eastAsia="Calibri" w:hAnsi="Palatino Linotype" w:cs="Times New Roman"/>
          <w:kern w:val="2"/>
          <w:sz w:val="20"/>
          <w:szCs w:val="20"/>
          <w:lang w:val="id-ID"/>
          <w14:ligatures w14:val="standardContextual"/>
        </w:rPr>
        <w:t xml:space="preserve">(8), 1485-1505. </w:t>
      </w:r>
      <w:hyperlink r:id="rId22" w:history="1">
        <w:r w:rsidRPr="00012846">
          <w:rPr>
            <w:rFonts w:ascii="Palatino Linotype" w:eastAsia="Calibri" w:hAnsi="Palatino Linotype" w:cs="Times New Roman"/>
            <w:color w:val="0563C1"/>
            <w:kern w:val="2"/>
            <w:sz w:val="20"/>
            <w:szCs w:val="20"/>
            <w:u w:val="single"/>
            <w:lang w:val="id-ID"/>
            <w14:ligatures w14:val="standardContextual"/>
          </w:rPr>
          <w:t>https://doi.org/10.1007/s10763-019-10028-x</w:t>
        </w:r>
      </w:hyperlink>
    </w:p>
    <w:p w14:paraId="7CA67D8B"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Hadi, S., Tjahjono, H. K., &amp; Palupi, M. (2020). SYSTEMATIC REVIEW: Meta Analisis Untuk Riset Perilaku Organisasi. Viva Victory. </w:t>
      </w:r>
    </w:p>
    <w:p w14:paraId="1A2B42B9"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lastRenderedPageBreak/>
        <w:t xml:space="preserve">Ishartono, N., Nurcahyo, A., Waluyo, M., Prayitno, H. J., &amp; Hanifah, M. (2022). Integrating Geogebra into the Flipped Learning Approach to Improve Students' Self-Regulated Learning during the COVID-19 Pandemic. Journal on Mathematics Education, 13(1), 69-86. </w:t>
      </w:r>
      <w:hyperlink r:id="rId23" w:history="1">
        <w:r w:rsidRPr="00012846">
          <w:rPr>
            <w:rFonts w:ascii="Palatino Linotype" w:eastAsia="Calibri" w:hAnsi="Palatino Linotype" w:cs="Times New Roman"/>
            <w:color w:val="0563C1"/>
            <w:kern w:val="2"/>
            <w:sz w:val="20"/>
            <w:szCs w:val="20"/>
            <w:u w:val="single"/>
            <w:lang w:val="id-ID"/>
            <w14:ligatures w14:val="standardContextual"/>
          </w:rPr>
          <w:t>http://doi.org/10.22342/jme.v13i1.pp69-86</w:t>
        </w:r>
      </w:hyperlink>
    </w:p>
    <w:p w14:paraId="08AB6530"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Kholid, M. N., Pradana, L. N., Maharani, S., &amp; Swastika, A. (2022). GeoGebra in Project-Based Learning (Geo-PJBL): A dynamic tool for analytical geometry course. </w:t>
      </w:r>
      <w:r w:rsidRPr="00012846">
        <w:rPr>
          <w:rFonts w:ascii="Palatino Linotype" w:eastAsia="Calibri" w:hAnsi="Palatino Linotype" w:cs="Times New Roman"/>
          <w:i/>
          <w:iCs/>
          <w:kern w:val="2"/>
          <w:sz w:val="20"/>
          <w:szCs w:val="20"/>
          <w:lang w:val="id-ID"/>
          <w14:ligatures w14:val="standardContextual"/>
        </w:rPr>
        <w:t>JOTSE</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12</w:t>
      </w:r>
      <w:r w:rsidRPr="00012846">
        <w:rPr>
          <w:rFonts w:ascii="Palatino Linotype" w:eastAsia="Calibri" w:hAnsi="Palatino Linotype" w:cs="Times New Roman"/>
          <w:kern w:val="2"/>
          <w:sz w:val="20"/>
          <w:szCs w:val="20"/>
          <w:lang w:val="id-ID"/>
          <w14:ligatures w14:val="standardContextual"/>
        </w:rPr>
        <w:t xml:space="preserve">(1), 112-120. </w:t>
      </w:r>
      <w:hyperlink r:id="rId24" w:history="1">
        <w:r w:rsidRPr="00012846">
          <w:rPr>
            <w:rFonts w:ascii="Palatino Linotype" w:eastAsia="Calibri" w:hAnsi="Palatino Linotype" w:cs="Times New Roman"/>
            <w:color w:val="0563C1"/>
            <w:kern w:val="2"/>
            <w:sz w:val="20"/>
            <w:szCs w:val="20"/>
            <w:u w:val="single"/>
            <w:lang w:val="id-ID"/>
            <w14:ligatures w14:val="standardContextual"/>
          </w:rPr>
          <w:t>https://doi.org/10.3926/jotse.1267</w:t>
        </w:r>
      </w:hyperlink>
    </w:p>
    <w:p w14:paraId="32559BD5"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Kounlaxay, K., Shim, Y., Kang, S. J., Kwak, H. Y., &amp; Kim, S. K. (2021). Learning media on mathematical education based on augmented reality. </w:t>
      </w:r>
      <w:r w:rsidRPr="00012846">
        <w:rPr>
          <w:rFonts w:ascii="Palatino Linotype" w:eastAsia="Calibri" w:hAnsi="Palatino Linotype" w:cs="Times New Roman"/>
          <w:i/>
          <w:iCs/>
          <w:kern w:val="2"/>
          <w:sz w:val="20"/>
          <w:szCs w:val="20"/>
          <w:lang w:val="id-ID"/>
          <w14:ligatures w14:val="standardContextual"/>
        </w:rPr>
        <w:t>KSII Transactions on Internet and Information Systems (TIIS)</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15</w:t>
      </w:r>
      <w:r w:rsidRPr="00012846">
        <w:rPr>
          <w:rFonts w:ascii="Palatino Linotype" w:eastAsia="Calibri" w:hAnsi="Palatino Linotype" w:cs="Times New Roman"/>
          <w:kern w:val="2"/>
          <w:sz w:val="20"/>
          <w:szCs w:val="20"/>
          <w:lang w:val="id-ID"/>
          <w14:ligatures w14:val="standardContextual"/>
        </w:rPr>
        <w:t xml:space="preserve">(3), 1015-1029. </w:t>
      </w:r>
      <w:hyperlink r:id="rId25" w:history="1">
        <w:r w:rsidRPr="00012846">
          <w:rPr>
            <w:rFonts w:ascii="Palatino Linotype" w:eastAsia="Calibri" w:hAnsi="Palatino Linotype" w:cs="Times New Roman"/>
            <w:color w:val="0563C1"/>
            <w:kern w:val="2"/>
            <w:sz w:val="20"/>
            <w:szCs w:val="20"/>
            <w:u w:val="single"/>
            <w:lang w:val="id-ID"/>
            <w14:ligatures w14:val="standardContextual"/>
          </w:rPr>
          <w:t>https://doi.org/10.3837/tiis.2021.03.011</w:t>
        </w:r>
      </w:hyperlink>
      <w:r w:rsidRPr="00012846">
        <w:rPr>
          <w:rFonts w:ascii="Palatino Linotype" w:eastAsia="Calibri" w:hAnsi="Palatino Linotype" w:cs="Times New Roman"/>
          <w:kern w:val="2"/>
          <w:sz w:val="20"/>
          <w:szCs w:val="20"/>
          <w:lang w:val="id-ID"/>
          <w14:ligatures w14:val="standardContextual"/>
        </w:rPr>
        <w:t>.</w:t>
      </w:r>
    </w:p>
    <w:p w14:paraId="19481977"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Küçük, K., &amp; Gün, Ö. (2023). The effects of GeoGebra-assisted transformation geometry instruction on student achievement, attitudes, and beliefs. </w:t>
      </w:r>
      <w:r w:rsidRPr="00012846">
        <w:rPr>
          <w:rFonts w:ascii="Palatino Linotype" w:eastAsia="Calibri" w:hAnsi="Palatino Linotype" w:cs="Times New Roman"/>
          <w:i/>
          <w:iCs/>
          <w:kern w:val="2"/>
          <w:sz w:val="20"/>
          <w:szCs w:val="20"/>
          <w:lang w:val="id-ID"/>
          <w14:ligatures w14:val="standardContextual"/>
        </w:rPr>
        <w:t>Journal of Computer and Education Research</w:t>
      </w:r>
      <w:r w:rsidRPr="00012846">
        <w:rPr>
          <w:rFonts w:ascii="Palatino Linotype" w:eastAsia="Calibri" w:hAnsi="Palatino Linotype" w:cs="Times New Roman"/>
          <w:kern w:val="2"/>
          <w:sz w:val="20"/>
          <w:szCs w:val="20"/>
          <w:lang w:val="id-ID"/>
          <w14:ligatures w14:val="standardContextual"/>
        </w:rPr>
        <w:t xml:space="preserve">. </w:t>
      </w:r>
      <w:hyperlink r:id="rId26" w:history="1">
        <w:r w:rsidRPr="00012846">
          <w:rPr>
            <w:rFonts w:ascii="Palatino Linotype" w:eastAsia="Calibri" w:hAnsi="Palatino Linotype" w:cs="Times New Roman"/>
            <w:color w:val="0563C1"/>
            <w:kern w:val="2"/>
            <w:sz w:val="20"/>
            <w:szCs w:val="20"/>
            <w:u w:val="single"/>
            <w:lang w:val="id-ID"/>
            <w14:ligatures w14:val="standardContextual"/>
          </w:rPr>
          <w:t>https://doi.org/10.18009/jcer.1324668</w:t>
        </w:r>
      </w:hyperlink>
    </w:p>
    <w:p w14:paraId="7E05B0F6"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Kynigos, C., &amp; Karavakou, M. (2022). Coding Dancing Figural Animations: Mathematical Meaning-Making Through Transitions Within and Beyond a Digital Resource. </w:t>
      </w:r>
      <w:r w:rsidRPr="00012846">
        <w:rPr>
          <w:rFonts w:ascii="Palatino Linotype" w:eastAsia="Times New Roman" w:hAnsi="Palatino Linotype" w:cs="Times New Roman"/>
          <w:i/>
          <w:iCs/>
          <w:color w:val="000000"/>
          <w:sz w:val="20"/>
          <w:szCs w:val="20"/>
          <w:lang w:val="id-ID" w:eastAsia="id-ID"/>
        </w:rPr>
        <w:t>Digital Experiences in Mathematics Education</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9</w:t>
      </w:r>
      <w:r w:rsidRPr="00012846">
        <w:rPr>
          <w:rFonts w:ascii="Palatino Linotype" w:eastAsia="Times New Roman" w:hAnsi="Palatino Linotype" w:cs="Times New Roman"/>
          <w:color w:val="000000"/>
          <w:sz w:val="20"/>
          <w:szCs w:val="20"/>
          <w:lang w:val="id-ID" w:eastAsia="id-ID"/>
        </w:rPr>
        <w:t xml:space="preserve">(2), 1–32. </w:t>
      </w:r>
      <w:hyperlink r:id="rId27" w:history="1">
        <w:r w:rsidRPr="00012846">
          <w:rPr>
            <w:rFonts w:ascii="Palatino Linotype" w:eastAsia="Times New Roman" w:hAnsi="Palatino Linotype" w:cs="Times New Roman"/>
            <w:color w:val="000000"/>
            <w:sz w:val="20"/>
            <w:szCs w:val="20"/>
            <w:u w:val="single"/>
            <w:lang w:val="id-ID" w:eastAsia="id-ID"/>
          </w:rPr>
          <w:t>https://doi.org/10.1007/s40751-022-00118-x</w:t>
        </w:r>
      </w:hyperlink>
      <w:r w:rsidRPr="00012846">
        <w:rPr>
          <w:rFonts w:ascii="Palatino Linotype" w:eastAsia="Times New Roman" w:hAnsi="Palatino Linotype" w:cs="Times New Roman"/>
          <w:color w:val="000000"/>
          <w:sz w:val="20"/>
          <w:szCs w:val="20"/>
          <w:lang w:val="id-ID" w:eastAsia="id-ID"/>
        </w:rPr>
        <w:t xml:space="preserve"> </w:t>
      </w:r>
    </w:p>
    <w:p w14:paraId="3B62B931"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Lewar, F. X. D., Peni, N., &amp; Naja, F. Y. (2022). Etnomatematika pada gerak tarian dolo-dolo masyarakat lamaholot kabupaten flores timur. </w:t>
      </w:r>
      <w:r w:rsidRPr="00012846">
        <w:rPr>
          <w:rFonts w:ascii="Palatino Linotype" w:eastAsia="Times New Roman" w:hAnsi="Palatino Linotype" w:cs="Times New Roman"/>
          <w:i/>
          <w:iCs/>
          <w:color w:val="000000"/>
          <w:sz w:val="20"/>
          <w:szCs w:val="20"/>
          <w:lang w:val="id-ID" w:eastAsia="id-ID"/>
        </w:rPr>
        <w:t>Jupika</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5</w:t>
      </w:r>
      <w:r w:rsidRPr="00012846">
        <w:rPr>
          <w:rFonts w:ascii="Palatino Linotype" w:eastAsia="Times New Roman" w:hAnsi="Palatino Linotype" w:cs="Times New Roman"/>
          <w:color w:val="000000"/>
          <w:sz w:val="20"/>
          <w:szCs w:val="20"/>
          <w:lang w:val="id-ID" w:eastAsia="id-ID"/>
        </w:rPr>
        <w:t xml:space="preserve">(2), 122–132. </w:t>
      </w:r>
      <w:hyperlink r:id="rId28" w:history="1">
        <w:r w:rsidRPr="00012846">
          <w:rPr>
            <w:rFonts w:ascii="Palatino Linotype" w:eastAsia="Times New Roman" w:hAnsi="Palatino Linotype" w:cs="Times New Roman"/>
            <w:color w:val="000000"/>
            <w:sz w:val="20"/>
            <w:szCs w:val="20"/>
            <w:u w:val="single"/>
            <w:lang w:val="id-ID" w:eastAsia="id-ID"/>
          </w:rPr>
          <w:t>https://doi.org/10.37478/jupika.v5i2.2048</w:t>
        </w:r>
      </w:hyperlink>
    </w:p>
    <w:p w14:paraId="55674EF6"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Liburd, K. K. D., &amp; Jen, H. Y. (2021). Investigating the effectiveness of using a technological approach on students’ achievement in Mathematics–case study of a high school in a Caribbean country. Sustainability, 13(10), 5586. </w:t>
      </w:r>
      <w:hyperlink r:id="rId29" w:history="1">
        <w:r w:rsidRPr="00012846">
          <w:rPr>
            <w:rFonts w:ascii="Palatino Linotype" w:eastAsia="Calibri" w:hAnsi="Palatino Linotype" w:cs="Times New Roman"/>
            <w:color w:val="0563C1"/>
            <w:kern w:val="2"/>
            <w:sz w:val="20"/>
            <w:szCs w:val="20"/>
            <w:u w:val="single"/>
            <w:lang w:val="id-ID"/>
            <w14:ligatures w14:val="standardContextual"/>
          </w:rPr>
          <w:t>https://doi.org/10.3390/su13105586</w:t>
        </w:r>
      </w:hyperlink>
    </w:p>
    <w:p w14:paraId="774D1C1D"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Makamure, C., &amp; Mukamba, E. (2020). Integration of GeoGebra in teaching and learning geometric transformations at ordinary level in Zimbabwe. </w:t>
      </w:r>
      <w:r w:rsidRPr="00012846">
        <w:rPr>
          <w:rFonts w:ascii="Palatino Linotype" w:eastAsia="Calibri" w:hAnsi="Palatino Linotype" w:cs="Times New Roman"/>
          <w:i/>
          <w:iCs/>
          <w:kern w:val="2"/>
          <w:sz w:val="20"/>
          <w:szCs w:val="20"/>
          <w:lang w:val="id-ID"/>
          <w14:ligatures w14:val="standardContextual"/>
        </w:rPr>
        <w:t>Contemporary Mathematics and Science Education</w:t>
      </w:r>
      <w:r w:rsidRPr="00012846">
        <w:rPr>
          <w:rFonts w:ascii="Palatino Linotype" w:eastAsia="Calibri" w:hAnsi="Palatino Linotype" w:cs="Times New Roman"/>
          <w:kern w:val="2"/>
          <w:sz w:val="20"/>
          <w:szCs w:val="20"/>
          <w:lang w:val="id-ID"/>
          <w14:ligatures w14:val="standardContextual"/>
        </w:rPr>
        <w:t>. https://doi.org/10.30935/conmaths/8431</w:t>
      </w:r>
    </w:p>
    <w:p w14:paraId="643C8230"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Martinez, R., &amp; Garcia, S. (2018). Challenges in learning geometric transformations: A cognitive perspective. </w:t>
      </w:r>
      <w:r w:rsidRPr="00012846">
        <w:rPr>
          <w:rFonts w:ascii="Palatino Linotype" w:eastAsia="Calibri" w:hAnsi="Palatino Linotype" w:cs="Times New Roman"/>
          <w:i/>
          <w:iCs/>
          <w:kern w:val="2"/>
          <w:sz w:val="20"/>
          <w:szCs w:val="20"/>
          <w:lang w:val="id-ID"/>
          <w14:ligatures w14:val="standardContextual"/>
        </w:rPr>
        <w:t>Journal of Mathematical Behavior, 52</w:t>
      </w:r>
      <w:r w:rsidRPr="00012846">
        <w:rPr>
          <w:rFonts w:ascii="Palatino Linotype" w:eastAsia="Calibri" w:hAnsi="Palatino Linotype" w:cs="Times New Roman"/>
          <w:kern w:val="2"/>
          <w:sz w:val="20"/>
          <w:szCs w:val="20"/>
          <w:lang w:val="id-ID"/>
          <w14:ligatures w14:val="standardContextual"/>
        </w:rPr>
        <w:t>, 101-115. https://doi.org/10.1016/j.jmathb.2018.03.004</w:t>
      </w:r>
    </w:p>
    <w:p w14:paraId="005B5CC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Martinovic, D., &amp; Manizade, A. G. (2020). Teachers using GeoGebra to visualize and verify conjectures about trapezoids. Canadian Journal of Science, Mathematics and Technology Education, 20(3), 485-503. </w:t>
      </w:r>
      <w:hyperlink r:id="rId30" w:history="1">
        <w:r w:rsidRPr="00012846">
          <w:rPr>
            <w:rFonts w:ascii="Palatino Linotype" w:eastAsia="Calibri" w:hAnsi="Palatino Linotype" w:cs="Times New Roman"/>
            <w:color w:val="0563C1"/>
            <w:kern w:val="2"/>
            <w:sz w:val="20"/>
            <w:szCs w:val="20"/>
            <w:u w:val="single"/>
            <w:lang w:val="id-ID"/>
            <w14:ligatures w14:val="standardContextual"/>
          </w:rPr>
          <w:t>https://doi.org/10.1007/s42330-020-00103-9</w:t>
        </w:r>
      </w:hyperlink>
    </w:p>
    <w:p w14:paraId="4C041DDB"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Muslim, N. E. I., Zakaria, M. I., &amp; Fang, C. Y. (2023). A systematic review of GeoGebra in mathematics education. </w:t>
      </w:r>
      <w:r w:rsidRPr="00012846">
        <w:rPr>
          <w:rFonts w:ascii="Palatino Linotype" w:eastAsia="Calibri" w:hAnsi="Palatino Linotype" w:cs="Times New Roman"/>
          <w:i/>
          <w:iCs/>
          <w:kern w:val="2"/>
          <w:sz w:val="20"/>
          <w:szCs w:val="20"/>
          <w:lang w:val="id-ID"/>
          <w14:ligatures w14:val="standardContextual"/>
        </w:rPr>
        <w:t>International Journal of Academic Research in Progressive Education and Development</w:t>
      </w:r>
      <w:r w:rsidRPr="00012846">
        <w:rPr>
          <w:rFonts w:ascii="Palatino Linotype" w:eastAsia="Calibri" w:hAnsi="Palatino Linotype" w:cs="Times New Roman"/>
          <w:kern w:val="2"/>
          <w:sz w:val="20"/>
          <w:szCs w:val="20"/>
          <w:lang w:val="id-ID"/>
          <w14:ligatures w14:val="standardContextual"/>
        </w:rPr>
        <w:t>. https://doi.org/10.6007/ijarped/v12-i3/19133</w:t>
      </w:r>
    </w:p>
    <w:p w14:paraId="54FA3E4A"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Pari Condori, A., Mendoza Velazco, D. J., &amp; Auccahuallpa Fernández, R. (2020, November). GeoGebra as a technological tool in the process of teaching and learning geometry. In Conference on Information and Communication Technologies of Ecuador (pp. 258-271). Cham: Springer International Publishing. https://doi.org/10.1007/978-3-030-62833-8_20</w:t>
      </w:r>
    </w:p>
    <w:p w14:paraId="1F347C0B" w14:textId="77777777" w:rsidR="00012846" w:rsidRPr="00012846" w:rsidRDefault="00012846" w:rsidP="00012846">
      <w:pPr>
        <w:spacing w:after="0"/>
        <w:ind w:left="567" w:hanging="567"/>
        <w:jc w:val="both"/>
        <w:rPr>
          <w:rFonts w:ascii="Palatino Linotype" w:eastAsia="Calibri" w:hAnsi="Palatino Linotype" w:cs="Times New Roman"/>
          <w:color w:val="0563C1"/>
          <w:kern w:val="2"/>
          <w:sz w:val="20"/>
          <w:szCs w:val="20"/>
          <w:u w:val="single"/>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Philemon, N. M., Chibisa, A., &amp; Mabusela, M. S. (2022). Acceptance of the GeoGebra Application in Learning Circle Theorems. International Journal of Learning, Teaching and Educational Research, 21(12), 1-20. </w:t>
      </w:r>
      <w:hyperlink r:id="rId31" w:history="1">
        <w:r w:rsidRPr="00012846">
          <w:rPr>
            <w:rFonts w:ascii="Palatino Linotype" w:eastAsia="Calibri" w:hAnsi="Palatino Linotype" w:cs="Times New Roman"/>
            <w:color w:val="0563C1"/>
            <w:kern w:val="2"/>
            <w:sz w:val="20"/>
            <w:szCs w:val="20"/>
            <w:u w:val="single"/>
            <w:lang w:val="id-ID"/>
            <w14:ligatures w14:val="standardContextual"/>
          </w:rPr>
          <w:t>https://doi.org/10.26803/ijlter.21.12.1</w:t>
        </w:r>
      </w:hyperlink>
    </w:p>
    <w:p w14:paraId="3B877FB3" w14:textId="77777777" w:rsidR="00012846" w:rsidRPr="00012846" w:rsidRDefault="00012846" w:rsidP="00012846">
      <w:pPr>
        <w:spacing w:after="0"/>
        <w:ind w:left="567" w:hanging="567"/>
        <w:jc w:val="both"/>
        <w:rPr>
          <w:rFonts w:ascii="Palatino Linotype" w:eastAsia="Calibri" w:hAnsi="Palatino Linotype" w:cs="Times New Roman"/>
          <w:color w:val="0563C1"/>
          <w:kern w:val="2"/>
          <w:sz w:val="20"/>
          <w:szCs w:val="20"/>
          <w:u w:val="single"/>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Sa’o, S., Naja, F. Y., &amp; Mei, M. F. (2023). Penerapan tarian tea eku melalui problem based learning untuk meningkatkan minat dan hasil belajar siswa. </w:t>
      </w:r>
      <w:r w:rsidRPr="00012846">
        <w:rPr>
          <w:rFonts w:ascii="Palatino Linotype" w:eastAsia="Times New Roman" w:hAnsi="Palatino Linotype" w:cs="Times New Roman"/>
          <w:i/>
          <w:iCs/>
          <w:color w:val="000000"/>
          <w:sz w:val="20"/>
          <w:szCs w:val="20"/>
          <w:lang w:val="id-ID" w:eastAsia="id-ID"/>
        </w:rPr>
        <w:t>Jurnal Aksioma</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12</w:t>
      </w:r>
      <w:r w:rsidRPr="00012846">
        <w:rPr>
          <w:rFonts w:ascii="Palatino Linotype" w:eastAsia="Times New Roman" w:hAnsi="Palatino Linotype" w:cs="Times New Roman"/>
          <w:color w:val="000000"/>
          <w:sz w:val="20"/>
          <w:szCs w:val="20"/>
          <w:lang w:val="id-ID" w:eastAsia="id-ID"/>
        </w:rPr>
        <w:t xml:space="preserve">(1), 1188. </w:t>
      </w:r>
      <w:hyperlink r:id="rId32" w:history="1">
        <w:r w:rsidRPr="00012846">
          <w:rPr>
            <w:rFonts w:ascii="Palatino Linotype" w:eastAsia="Times New Roman" w:hAnsi="Palatino Linotype" w:cs="Times New Roman"/>
            <w:color w:val="000000"/>
            <w:sz w:val="20"/>
            <w:szCs w:val="20"/>
            <w:u w:val="single"/>
            <w:lang w:val="id-ID" w:eastAsia="id-ID"/>
          </w:rPr>
          <w:t>https://doi.org/10.24127/ajpm.v12i1.6747</w:t>
        </w:r>
      </w:hyperlink>
    </w:p>
    <w:p w14:paraId="583AB75D" w14:textId="77777777" w:rsidR="00012846" w:rsidRPr="00012846" w:rsidRDefault="00012846" w:rsidP="00012846">
      <w:pPr>
        <w:spacing w:after="0"/>
        <w:ind w:left="567" w:hanging="567"/>
        <w:jc w:val="both"/>
        <w:rPr>
          <w:rFonts w:ascii="Palatino Linotype" w:eastAsia="Calibri" w:hAnsi="Palatino Linotype" w:cs="Times New Roman"/>
          <w:color w:val="0563C1"/>
          <w:kern w:val="2"/>
          <w:sz w:val="20"/>
          <w:szCs w:val="20"/>
          <w:u w:val="single"/>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Sielfiana, S., Wardono, D., Sriwiyanti, N., &amp; Pratiwi, S. R. (2023). Relationship between use of learning media with the mathematics learning outcomes of smk n 3 bondowoso students. </w:t>
      </w:r>
      <w:r w:rsidRPr="00012846">
        <w:rPr>
          <w:rFonts w:ascii="Palatino Linotype" w:eastAsia="Times New Roman" w:hAnsi="Palatino Linotype" w:cs="Times New Roman"/>
          <w:i/>
          <w:iCs/>
          <w:color w:val="000000"/>
          <w:sz w:val="20"/>
          <w:szCs w:val="20"/>
          <w:lang w:val="id-ID" w:eastAsia="id-ID"/>
        </w:rPr>
        <w:t>Journal of Education Technology and Inovation</w:t>
      </w:r>
      <w:r w:rsidRPr="00012846">
        <w:rPr>
          <w:rFonts w:ascii="Palatino Linotype" w:eastAsia="Times New Roman" w:hAnsi="Palatino Linotype" w:cs="Times New Roman"/>
          <w:color w:val="000000"/>
          <w:sz w:val="20"/>
          <w:szCs w:val="20"/>
          <w:lang w:val="id-ID" w:eastAsia="id-ID"/>
        </w:rPr>
        <w:t>. https://doi.org/10.31537/jeti.v6i1.1103</w:t>
      </w:r>
    </w:p>
    <w:p w14:paraId="5F99539C"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lastRenderedPageBreak/>
        <w:t xml:space="preserve">Smith, J., &amp; Jones, A. (2020). Enhancing students' spatial visualization skills through dynamic geometry software. </w:t>
      </w:r>
      <w:r w:rsidRPr="00012846">
        <w:rPr>
          <w:rFonts w:ascii="Palatino Linotype" w:eastAsia="Calibri" w:hAnsi="Palatino Linotype" w:cs="Times New Roman"/>
          <w:i/>
          <w:iCs/>
          <w:kern w:val="2"/>
          <w:sz w:val="20"/>
          <w:szCs w:val="20"/>
          <w:lang w:val="id-ID"/>
          <w14:ligatures w14:val="standardContextual"/>
        </w:rPr>
        <w:t>International Journal of Mathematical Education in Science and Technology, 51</w:t>
      </w:r>
      <w:r w:rsidRPr="00012846">
        <w:rPr>
          <w:rFonts w:ascii="Palatino Linotype" w:eastAsia="Calibri" w:hAnsi="Palatino Linotype" w:cs="Times New Roman"/>
          <w:kern w:val="2"/>
          <w:sz w:val="20"/>
          <w:szCs w:val="20"/>
          <w:lang w:val="id-ID"/>
          <w14:ligatures w14:val="standardContextual"/>
        </w:rPr>
        <w:t xml:space="preserve">(4), 567-583. </w:t>
      </w:r>
      <w:hyperlink r:id="rId33" w:history="1">
        <w:r w:rsidRPr="00012846">
          <w:rPr>
            <w:rFonts w:ascii="Palatino Linotype" w:eastAsia="Calibri" w:hAnsi="Palatino Linotype" w:cs="Times New Roman"/>
            <w:color w:val="0563C1"/>
            <w:kern w:val="2"/>
            <w:sz w:val="20"/>
            <w:szCs w:val="20"/>
            <w:u w:val="single"/>
            <w:lang w:val="id-ID"/>
            <w14:ligatures w14:val="standardContextual"/>
          </w:rPr>
          <w:t>https://doi.org/10.1080/0020739X.2019.1683778</w:t>
        </w:r>
      </w:hyperlink>
    </w:p>
    <w:p w14:paraId="182965E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Suryani, D., &amp; Zuliana, E. Y. (2023). </w:t>
      </w:r>
      <w:r w:rsidRPr="00012846">
        <w:rPr>
          <w:rFonts w:ascii="Palatino Linotype" w:eastAsia="Times New Roman" w:hAnsi="Palatino Linotype" w:cs="Times New Roman"/>
          <w:i/>
          <w:iCs/>
          <w:color w:val="000000"/>
          <w:sz w:val="20"/>
          <w:szCs w:val="20"/>
          <w:lang w:val="id-ID" w:eastAsia="id-ID"/>
        </w:rPr>
        <w:t>Eksplorasi Etnomatematika pada Tari Kretek Kudus</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1</w:t>
      </w:r>
      <w:r w:rsidRPr="00012846">
        <w:rPr>
          <w:rFonts w:ascii="Palatino Linotype" w:eastAsia="Times New Roman" w:hAnsi="Palatino Linotype" w:cs="Times New Roman"/>
          <w:color w:val="000000"/>
          <w:sz w:val="20"/>
          <w:szCs w:val="20"/>
          <w:lang w:val="id-ID" w:eastAsia="id-ID"/>
        </w:rPr>
        <w:t>(1), 5–13. https://doi.org/10.51806/jspm.v1i1.25</w:t>
      </w:r>
    </w:p>
    <w:p w14:paraId="073848A3"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Times New Roman" w:hAnsi="Palatino Linotype" w:cs="Times New Roman"/>
          <w:color w:val="000000"/>
          <w:sz w:val="20"/>
          <w:szCs w:val="20"/>
          <w:lang w:val="id-ID" w:eastAsia="id-ID"/>
        </w:rPr>
        <w:t xml:space="preserve">Taufer, E., &amp; Klein de Almeida, A. M. (2022). Matemática no movimento humano. </w:t>
      </w:r>
      <w:r w:rsidRPr="00012846">
        <w:rPr>
          <w:rFonts w:ascii="Palatino Linotype" w:eastAsia="Times New Roman" w:hAnsi="Palatino Linotype" w:cs="Times New Roman"/>
          <w:i/>
          <w:iCs/>
          <w:color w:val="000000"/>
          <w:sz w:val="20"/>
          <w:szCs w:val="20"/>
          <w:lang w:val="id-ID" w:eastAsia="id-ID"/>
        </w:rPr>
        <w:t>Expressa Extensão</w:t>
      </w:r>
      <w:r w:rsidRPr="00012846">
        <w:rPr>
          <w:rFonts w:ascii="Palatino Linotype" w:eastAsia="Times New Roman" w:hAnsi="Palatino Linotype" w:cs="Times New Roman"/>
          <w:color w:val="000000"/>
          <w:sz w:val="20"/>
          <w:szCs w:val="20"/>
          <w:lang w:val="id-ID" w:eastAsia="id-ID"/>
        </w:rPr>
        <w:t xml:space="preserve">, </w:t>
      </w:r>
      <w:r w:rsidRPr="00012846">
        <w:rPr>
          <w:rFonts w:ascii="Palatino Linotype" w:eastAsia="Times New Roman" w:hAnsi="Palatino Linotype" w:cs="Times New Roman"/>
          <w:i/>
          <w:iCs/>
          <w:color w:val="000000"/>
          <w:sz w:val="20"/>
          <w:szCs w:val="20"/>
          <w:lang w:val="id-ID" w:eastAsia="id-ID"/>
        </w:rPr>
        <w:t>27</w:t>
      </w:r>
      <w:r w:rsidRPr="00012846">
        <w:rPr>
          <w:rFonts w:ascii="Palatino Linotype" w:eastAsia="Times New Roman" w:hAnsi="Palatino Linotype" w:cs="Times New Roman"/>
          <w:color w:val="000000"/>
          <w:sz w:val="20"/>
          <w:szCs w:val="20"/>
          <w:lang w:val="id-ID" w:eastAsia="id-ID"/>
        </w:rPr>
        <w:t xml:space="preserve">(3), 32–39. </w:t>
      </w:r>
      <w:hyperlink r:id="rId34" w:history="1">
        <w:r w:rsidRPr="00012846">
          <w:rPr>
            <w:rFonts w:ascii="Palatino Linotype" w:eastAsia="Times New Roman" w:hAnsi="Palatino Linotype" w:cs="Times New Roman"/>
            <w:color w:val="000000"/>
            <w:sz w:val="20"/>
            <w:szCs w:val="20"/>
            <w:u w:val="single"/>
            <w:lang w:val="id-ID" w:eastAsia="id-ID"/>
          </w:rPr>
          <w:t>https://doi.org/10.15210/ee.v27i3.22877</w:t>
        </w:r>
      </w:hyperlink>
    </w:p>
    <w:p w14:paraId="15473B48"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Thapa, R., Dahal, N., &amp; Pant, B. P. (2022). GeoGebra Integration in High School Mathematics: An Experiential Exploration on Concepts of Circle. </w:t>
      </w:r>
      <w:r w:rsidRPr="00012846">
        <w:rPr>
          <w:rFonts w:ascii="Palatino Linotype" w:eastAsia="Calibri" w:hAnsi="Palatino Linotype" w:cs="Times New Roman"/>
          <w:i/>
          <w:iCs/>
          <w:kern w:val="2"/>
          <w:sz w:val="20"/>
          <w:szCs w:val="20"/>
          <w:lang w:val="id-ID"/>
          <w14:ligatures w14:val="standardContextual"/>
        </w:rPr>
        <w:t>Mathematics Teaching Research Journal</w:t>
      </w:r>
      <w:r w:rsidRPr="00012846">
        <w:rPr>
          <w:rFonts w:ascii="Palatino Linotype" w:eastAsia="Calibri" w:hAnsi="Palatino Linotype" w:cs="Times New Roman"/>
          <w:kern w:val="2"/>
          <w:sz w:val="20"/>
          <w:szCs w:val="20"/>
          <w:lang w:val="id-ID"/>
          <w14:ligatures w14:val="standardContextual"/>
        </w:rPr>
        <w:t>, </w:t>
      </w:r>
      <w:r w:rsidRPr="00012846">
        <w:rPr>
          <w:rFonts w:ascii="Palatino Linotype" w:eastAsia="Calibri" w:hAnsi="Palatino Linotype" w:cs="Times New Roman"/>
          <w:i/>
          <w:iCs/>
          <w:kern w:val="2"/>
          <w:sz w:val="20"/>
          <w:szCs w:val="20"/>
          <w:lang w:val="id-ID"/>
          <w14:ligatures w14:val="standardContextual"/>
        </w:rPr>
        <w:t>14</w:t>
      </w:r>
      <w:r w:rsidRPr="00012846">
        <w:rPr>
          <w:rFonts w:ascii="Palatino Linotype" w:eastAsia="Calibri" w:hAnsi="Palatino Linotype" w:cs="Times New Roman"/>
          <w:kern w:val="2"/>
          <w:sz w:val="20"/>
          <w:szCs w:val="20"/>
          <w:lang w:val="id-ID"/>
          <w14:ligatures w14:val="standardContextual"/>
        </w:rPr>
        <w:t>(5), 16-33.</w:t>
      </w:r>
    </w:p>
    <w:p w14:paraId="68B9F71F"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Thompson, P., &amp; Evans, R. (2022). Developing spatial reasoning through geometric transformations in a digital learning environment. </w:t>
      </w:r>
      <w:r w:rsidRPr="00012846">
        <w:rPr>
          <w:rFonts w:ascii="Palatino Linotype" w:eastAsia="Calibri" w:hAnsi="Palatino Linotype" w:cs="Times New Roman"/>
          <w:i/>
          <w:iCs/>
          <w:kern w:val="2"/>
          <w:sz w:val="20"/>
          <w:szCs w:val="20"/>
          <w:lang w:val="id-ID"/>
          <w14:ligatures w14:val="standardContextual"/>
        </w:rPr>
        <w:t>Mathematics Education Research Journal, 34</w:t>
      </w:r>
      <w:r w:rsidRPr="00012846">
        <w:rPr>
          <w:rFonts w:ascii="Palatino Linotype" w:eastAsia="Calibri" w:hAnsi="Palatino Linotype" w:cs="Times New Roman"/>
          <w:kern w:val="2"/>
          <w:sz w:val="20"/>
          <w:szCs w:val="20"/>
          <w:lang w:val="id-ID"/>
          <w14:ligatures w14:val="standardContextual"/>
        </w:rPr>
        <w:t xml:space="preserve">(1), 89-105. </w:t>
      </w:r>
      <w:hyperlink r:id="rId35" w:history="1">
        <w:r w:rsidRPr="00012846">
          <w:rPr>
            <w:rFonts w:ascii="Palatino Linotype" w:eastAsia="Calibri" w:hAnsi="Palatino Linotype" w:cs="Times New Roman"/>
            <w:color w:val="0563C1"/>
            <w:kern w:val="2"/>
            <w:sz w:val="20"/>
            <w:szCs w:val="20"/>
            <w:u w:val="single"/>
            <w:lang w:val="id-ID"/>
            <w14:ligatures w14:val="standardContextual"/>
          </w:rPr>
          <w:t>https://doi.org/10.1007/s13394-021-00372-9</w:t>
        </w:r>
      </w:hyperlink>
    </w:p>
    <w:p w14:paraId="414A426B"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Triandini, E., Jayanatha, S., Indrawan, A., Putra, G. W., &amp; Iswara, B. (2019). Metode Systematic Literature Review untuk Identifikasi Platform dan Metode Pengembangan Sistem Informasi di Indonesia. IJIS: International Journal of Information System, 1(2), 63– 77.</w:t>
      </w:r>
    </w:p>
    <w:p w14:paraId="58E2DAC3"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Uwurukundo, M. S., Maniraho, J. F., &amp; Tusiime Rwibasira, M. (2022). Effect of GeoGebra software on secondary school students’ achievement in 3-D geometry. Education and Information Technologies, 27(4), 5749-5765. </w:t>
      </w:r>
      <w:hyperlink r:id="rId36" w:history="1">
        <w:r w:rsidRPr="00012846">
          <w:rPr>
            <w:rFonts w:ascii="Palatino Linotype" w:eastAsia="Calibri" w:hAnsi="Palatino Linotype" w:cs="Times New Roman"/>
            <w:color w:val="0563C1"/>
            <w:kern w:val="2"/>
            <w:sz w:val="20"/>
            <w:szCs w:val="20"/>
            <w:u w:val="single"/>
            <w:lang w:val="id-ID"/>
            <w14:ligatures w14:val="standardContextual"/>
          </w:rPr>
          <w:t>https://doi.org/10.1007/s10639-021-10852-1</w:t>
        </w:r>
      </w:hyperlink>
    </w:p>
    <w:p w14:paraId="11EF4728" w14:textId="77777777" w:rsidR="00012846" w:rsidRPr="00012846" w:rsidRDefault="00012846" w:rsidP="00012846">
      <w:pPr>
        <w:spacing w:after="0"/>
        <w:ind w:left="567" w:hanging="567"/>
        <w:jc w:val="both"/>
        <w:rPr>
          <w:rFonts w:ascii="Palatino Linotype" w:eastAsia="Calibri" w:hAnsi="Palatino Linotype" w:cs="Times New Roman"/>
          <w:kern w:val="2"/>
          <w:sz w:val="20"/>
          <w:szCs w:val="20"/>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Yohannes, A., &amp; Chen, H.-L. (2021). GeoGebra in mathematics education: A systematic review of journal articles published from 2010 to 2020. </w:t>
      </w:r>
      <w:r w:rsidRPr="00012846">
        <w:rPr>
          <w:rFonts w:ascii="Palatino Linotype" w:eastAsia="Calibri" w:hAnsi="Palatino Linotype" w:cs="Times New Roman"/>
          <w:i/>
          <w:iCs/>
          <w:kern w:val="2"/>
          <w:sz w:val="20"/>
          <w:szCs w:val="20"/>
          <w:lang w:val="id-ID"/>
          <w14:ligatures w14:val="standardContextual"/>
        </w:rPr>
        <w:t>Interactive Learning Environments, 31</w:t>
      </w:r>
      <w:r w:rsidRPr="00012846">
        <w:rPr>
          <w:rFonts w:ascii="Palatino Linotype" w:eastAsia="Calibri" w:hAnsi="Palatino Linotype" w:cs="Times New Roman"/>
          <w:kern w:val="2"/>
          <w:sz w:val="20"/>
          <w:szCs w:val="20"/>
          <w:lang w:val="id-ID"/>
          <w14:ligatures w14:val="standardContextual"/>
        </w:rPr>
        <w:t>(5), 5682-5697. https://doi.org/10.1080/10494820.2021.2016861</w:t>
      </w:r>
    </w:p>
    <w:p w14:paraId="2389749E" w14:textId="77777777" w:rsidR="00012846" w:rsidRPr="00012846" w:rsidRDefault="00012846" w:rsidP="00012846">
      <w:pPr>
        <w:spacing w:after="0"/>
        <w:ind w:left="567" w:hanging="567"/>
        <w:jc w:val="both"/>
        <w:rPr>
          <w:rFonts w:ascii="Palatino Linotype" w:eastAsia="Calibri" w:hAnsi="Palatino Linotype" w:cs="Times New Roman"/>
          <w:color w:val="0563C1"/>
          <w:kern w:val="2"/>
          <w:sz w:val="20"/>
          <w:szCs w:val="20"/>
          <w:u w:val="single"/>
          <w:lang w:val="id-ID"/>
          <w14:ligatures w14:val="standardContextual"/>
        </w:rPr>
      </w:pPr>
      <w:r w:rsidRPr="00012846">
        <w:rPr>
          <w:rFonts w:ascii="Palatino Linotype" w:eastAsia="Calibri" w:hAnsi="Palatino Linotype" w:cs="Times New Roman"/>
          <w:kern w:val="2"/>
          <w:sz w:val="20"/>
          <w:szCs w:val="20"/>
          <w:lang w:val="id-ID"/>
          <w14:ligatures w14:val="standardContextual"/>
        </w:rPr>
        <w:t xml:space="preserve">Zetriuslita, Z., Nofriyandi, N., &amp; Istikomah, E. (2020). The effect of geogebra-assisted direct instruction on students’ self-efficacy and self-regulation. Infinity Journal of Mathematics Education, 9(1). </w:t>
      </w:r>
      <w:hyperlink r:id="rId37" w:history="1">
        <w:r w:rsidRPr="00012846">
          <w:rPr>
            <w:rFonts w:ascii="Palatino Linotype" w:eastAsia="Calibri" w:hAnsi="Palatino Linotype" w:cs="Times New Roman"/>
            <w:color w:val="0563C1"/>
            <w:kern w:val="2"/>
            <w:sz w:val="20"/>
            <w:szCs w:val="20"/>
            <w:u w:val="single"/>
            <w:lang w:val="id-ID"/>
            <w14:ligatures w14:val="standardContextual"/>
          </w:rPr>
          <w:t>https://doi.org/10.22460/infinity.v9i1.p41-48</w:t>
        </w:r>
      </w:hyperlink>
    </w:p>
    <w:p w14:paraId="7B4B240B" w14:textId="09B8A986" w:rsidR="00143989" w:rsidRPr="00723B12" w:rsidRDefault="00143989" w:rsidP="002B31FD">
      <w:pPr>
        <w:pStyle w:val="Alishlah71References"/>
      </w:pPr>
    </w:p>
    <w:sectPr w:rsidR="00143989" w:rsidRPr="00723B12" w:rsidSect="001914CF">
      <w:headerReference w:type="default" r:id="rId38"/>
      <w:footerReference w:type="default" r:id="rId39"/>
      <w:headerReference w:type="first" r:id="rId40"/>
      <w:footerReference w:type="first" r:id="rId41"/>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5071" w14:textId="77777777" w:rsidR="003C1A63" w:rsidRDefault="003C1A63" w:rsidP="008E64A2">
      <w:pPr>
        <w:spacing w:after="0" w:line="240" w:lineRule="auto"/>
      </w:pPr>
      <w:r>
        <w:separator/>
      </w:r>
    </w:p>
    <w:p w14:paraId="224AE987" w14:textId="77777777" w:rsidR="003C1A63" w:rsidRDefault="003C1A63"/>
  </w:endnote>
  <w:endnote w:type="continuationSeparator" w:id="0">
    <w:p w14:paraId="6BE4FF9D" w14:textId="77777777" w:rsidR="003C1A63" w:rsidRDefault="003C1A63" w:rsidP="008E64A2">
      <w:pPr>
        <w:spacing w:after="0" w:line="240" w:lineRule="auto"/>
      </w:pPr>
      <w:r>
        <w:continuationSeparator/>
      </w:r>
    </w:p>
    <w:p w14:paraId="4B2F2511" w14:textId="77777777" w:rsidR="003C1A63" w:rsidRDefault="003C1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0B7D"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9BFA"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0B044" w14:textId="77777777" w:rsidR="003C1A63" w:rsidRDefault="003C1A63" w:rsidP="008E64A2">
      <w:pPr>
        <w:spacing w:after="0" w:line="240" w:lineRule="auto"/>
      </w:pPr>
      <w:r>
        <w:separator/>
      </w:r>
    </w:p>
    <w:p w14:paraId="0F86DADA" w14:textId="77777777" w:rsidR="003C1A63" w:rsidRDefault="003C1A63"/>
  </w:footnote>
  <w:footnote w:type="continuationSeparator" w:id="0">
    <w:p w14:paraId="1C23F6C4" w14:textId="77777777" w:rsidR="003C1A63" w:rsidRDefault="003C1A63" w:rsidP="008E64A2">
      <w:pPr>
        <w:spacing w:after="0" w:line="240" w:lineRule="auto"/>
      </w:pPr>
      <w:r>
        <w:continuationSeparator/>
      </w:r>
    </w:p>
    <w:p w14:paraId="2ABE6EA8" w14:textId="77777777" w:rsidR="003C1A63" w:rsidRDefault="003C1A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7CE0"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69F4976D" wp14:editId="67622868">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D1E62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5115513A" w14:textId="77777777" w:rsidR="00C53312" w:rsidRDefault="00C533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3B97"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Al-Ishlah: Jurnal Pendidikan</w:t>
    </w:r>
  </w:p>
  <w:p w14:paraId="4DA6154D"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778C1824"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3BB508A1" wp14:editId="2B18E314">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0219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4CD726A"/>
    <w:multiLevelType w:val="multilevel"/>
    <w:tmpl w:val="54CD72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204445416">
    <w:abstractNumId w:val="9"/>
  </w:num>
  <w:num w:numId="2" w16cid:durableId="802692690">
    <w:abstractNumId w:val="10"/>
  </w:num>
  <w:num w:numId="3" w16cid:durableId="769158147">
    <w:abstractNumId w:val="6"/>
  </w:num>
  <w:num w:numId="4" w16cid:durableId="776368027">
    <w:abstractNumId w:val="5"/>
  </w:num>
  <w:num w:numId="5" w16cid:durableId="1472595035">
    <w:abstractNumId w:val="14"/>
  </w:num>
  <w:num w:numId="6" w16cid:durableId="124126035">
    <w:abstractNumId w:val="17"/>
  </w:num>
  <w:num w:numId="7" w16cid:durableId="1593049766">
    <w:abstractNumId w:val="1"/>
  </w:num>
  <w:num w:numId="8" w16cid:durableId="616524277">
    <w:abstractNumId w:val="16"/>
  </w:num>
  <w:num w:numId="9" w16cid:durableId="879822604">
    <w:abstractNumId w:val="8"/>
  </w:num>
  <w:num w:numId="10" w16cid:durableId="410081753">
    <w:abstractNumId w:val="15"/>
  </w:num>
  <w:num w:numId="11" w16cid:durableId="515653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5820816">
    <w:abstractNumId w:val="18"/>
  </w:num>
  <w:num w:numId="13" w16cid:durableId="807433521">
    <w:abstractNumId w:val="2"/>
  </w:num>
  <w:num w:numId="14" w16cid:durableId="2120752859">
    <w:abstractNumId w:val="11"/>
  </w:num>
  <w:num w:numId="15" w16cid:durableId="1860385463">
    <w:abstractNumId w:val="12"/>
  </w:num>
  <w:num w:numId="16" w16cid:durableId="162207144">
    <w:abstractNumId w:val="0"/>
  </w:num>
  <w:num w:numId="17" w16cid:durableId="1802307516">
    <w:abstractNumId w:val="4"/>
  </w:num>
  <w:num w:numId="18" w16cid:durableId="270826219">
    <w:abstractNumId w:val="7"/>
  </w:num>
  <w:num w:numId="19" w16cid:durableId="196688441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D341E5"/>
    <w:rsid w:val="000061CE"/>
    <w:rsid w:val="00012846"/>
    <w:rsid w:val="00031DD5"/>
    <w:rsid w:val="000333AC"/>
    <w:rsid w:val="000355EA"/>
    <w:rsid w:val="00035C67"/>
    <w:rsid w:val="00056E9C"/>
    <w:rsid w:val="00062B58"/>
    <w:rsid w:val="000735BB"/>
    <w:rsid w:val="00075197"/>
    <w:rsid w:val="000831BD"/>
    <w:rsid w:val="000A13A3"/>
    <w:rsid w:val="000A36F0"/>
    <w:rsid w:val="000D5EE8"/>
    <w:rsid w:val="000E2588"/>
    <w:rsid w:val="000E2C60"/>
    <w:rsid w:val="000E7A05"/>
    <w:rsid w:val="000F1812"/>
    <w:rsid w:val="000F66B9"/>
    <w:rsid w:val="0011252A"/>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2D77EC"/>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2C87"/>
    <w:rsid w:val="00376360"/>
    <w:rsid w:val="00376B69"/>
    <w:rsid w:val="003807D8"/>
    <w:rsid w:val="003827AC"/>
    <w:rsid w:val="00392773"/>
    <w:rsid w:val="003C1A6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52C"/>
    <w:rsid w:val="004A39B9"/>
    <w:rsid w:val="004A4086"/>
    <w:rsid w:val="004C2768"/>
    <w:rsid w:val="004C2BBB"/>
    <w:rsid w:val="004C67A3"/>
    <w:rsid w:val="004C700A"/>
    <w:rsid w:val="004D00C2"/>
    <w:rsid w:val="004D0C98"/>
    <w:rsid w:val="004F29DF"/>
    <w:rsid w:val="004F6BCE"/>
    <w:rsid w:val="00503D0F"/>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34B99"/>
    <w:rsid w:val="006405DC"/>
    <w:rsid w:val="00642A67"/>
    <w:rsid w:val="00655540"/>
    <w:rsid w:val="006659EC"/>
    <w:rsid w:val="00671E49"/>
    <w:rsid w:val="00674F13"/>
    <w:rsid w:val="00675603"/>
    <w:rsid w:val="00675F5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1AD1"/>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165C"/>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893"/>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945FE"/>
    <w:rsid w:val="009B07D9"/>
    <w:rsid w:val="009C1B55"/>
    <w:rsid w:val="009C7544"/>
    <w:rsid w:val="009D09F2"/>
    <w:rsid w:val="009D3532"/>
    <w:rsid w:val="009E52F0"/>
    <w:rsid w:val="009F0C88"/>
    <w:rsid w:val="009F4CD2"/>
    <w:rsid w:val="009F71B3"/>
    <w:rsid w:val="00A00078"/>
    <w:rsid w:val="00A02BB2"/>
    <w:rsid w:val="00A10E86"/>
    <w:rsid w:val="00A234A4"/>
    <w:rsid w:val="00A30D01"/>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5B3E"/>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53312"/>
    <w:rsid w:val="00C66ECA"/>
    <w:rsid w:val="00C721BA"/>
    <w:rsid w:val="00C8406B"/>
    <w:rsid w:val="00C94847"/>
    <w:rsid w:val="00CA3B3C"/>
    <w:rsid w:val="00CC0C2B"/>
    <w:rsid w:val="00CC3DB2"/>
    <w:rsid w:val="00CC7F21"/>
    <w:rsid w:val="00CD3AE9"/>
    <w:rsid w:val="00CE131B"/>
    <w:rsid w:val="00CE242C"/>
    <w:rsid w:val="00CF5425"/>
    <w:rsid w:val="00D13D39"/>
    <w:rsid w:val="00D171F8"/>
    <w:rsid w:val="00D2296B"/>
    <w:rsid w:val="00D31547"/>
    <w:rsid w:val="00D341E5"/>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1EBD"/>
    <w:rsid w:val="00E1438C"/>
    <w:rsid w:val="00E22B8E"/>
    <w:rsid w:val="00E45249"/>
    <w:rsid w:val="00E517C5"/>
    <w:rsid w:val="00E56B59"/>
    <w:rsid w:val="00E85AC8"/>
    <w:rsid w:val="00EA7D37"/>
    <w:rsid w:val="00EE35A7"/>
    <w:rsid w:val="00EF47B8"/>
    <w:rsid w:val="00F03710"/>
    <w:rsid w:val="00F05579"/>
    <w:rsid w:val="00F15294"/>
    <w:rsid w:val="00F16A30"/>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267BB"/>
  <w15:chartTrackingRefBased/>
  <w15:docId w15:val="{AD582ED8-2E4C-418B-A489-52BB337B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1080/00220671.2021.1983505" TargetMode="External"/><Relationship Id="rId26" Type="http://schemas.openxmlformats.org/officeDocument/2006/relationships/hyperlink" Target="https://doi.org/10.18009/jcer.1324668" TargetMode="External"/><Relationship Id="rId39" Type="http://schemas.openxmlformats.org/officeDocument/2006/relationships/footer" Target="footer1.xml"/><Relationship Id="rId21" Type="http://schemas.openxmlformats.org/officeDocument/2006/relationships/hyperlink" Target="https://doi.org/10.48550/arxiv.2410.09589" TargetMode="External"/><Relationship Id="rId34" Type="http://schemas.openxmlformats.org/officeDocument/2006/relationships/hyperlink" Target="https://doi.org/10.15210/ee.v27i3.22877"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7197/retos.v44i0.91451" TargetMode="External"/><Relationship Id="rId20" Type="http://schemas.openxmlformats.org/officeDocument/2006/relationships/hyperlink" Target="https://doi.org/10.7176/JEP/10-13-04" TargetMode="External"/><Relationship Id="rId29" Type="http://schemas.openxmlformats.org/officeDocument/2006/relationships/hyperlink" Target="https://doi.org/10.3390/su1310558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3926/jotse.1267" TargetMode="External"/><Relationship Id="rId32" Type="http://schemas.openxmlformats.org/officeDocument/2006/relationships/hyperlink" Target="https://doi.org/10.24127/ajpm.v12i1.6747" TargetMode="External"/><Relationship Id="rId37" Type="http://schemas.openxmlformats.org/officeDocument/2006/relationships/hyperlink" Target="https://doi.org/10.22460/infinity.v9i1.p41-48"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07/s10639-020-10371-5" TargetMode="External"/><Relationship Id="rId23" Type="http://schemas.openxmlformats.org/officeDocument/2006/relationships/hyperlink" Target="http://doi.org/10.22342/jme.v13i1.pp69-86" TargetMode="External"/><Relationship Id="rId28" Type="http://schemas.openxmlformats.org/officeDocument/2006/relationships/hyperlink" Target="https://doi.org/10.37478/jupika.v5i2.2048" TargetMode="External"/><Relationship Id="rId36" Type="http://schemas.openxmlformats.org/officeDocument/2006/relationships/hyperlink" Target="https://doi.org/10.1007/s10639-021-10852-1" TargetMode="External"/><Relationship Id="rId10" Type="http://schemas.openxmlformats.org/officeDocument/2006/relationships/hyperlink" Target="https://creativecommons.org/licenses/by-nc-sa/4.0/" TargetMode="External"/><Relationship Id="rId19" Type="http://schemas.openxmlformats.org/officeDocument/2006/relationships/hyperlink" Target="https://doi.org/10.1111/jcal.12532" TargetMode="External"/><Relationship Id="rId31" Type="http://schemas.openxmlformats.org/officeDocument/2006/relationships/hyperlink" Target="https://doi.org/10.26803/ijlter.21.12.1" TargetMode="External"/><Relationship Id="rId4" Type="http://schemas.openxmlformats.org/officeDocument/2006/relationships/settings" Target="settings.xml"/><Relationship Id="rId9" Type="http://schemas.openxmlformats.org/officeDocument/2006/relationships/hyperlink" Target="mailto:zulkardi@unsri.ac.id," TargetMode="External"/><Relationship Id="rId14" Type="http://schemas.openxmlformats.org/officeDocument/2006/relationships/hyperlink" Target="https://doi.org/10.1007/s10639-019-10044-y" TargetMode="External"/><Relationship Id="rId22" Type="http://schemas.openxmlformats.org/officeDocument/2006/relationships/hyperlink" Target="https://doi.org/10.1007/s10763-019-10028-x" TargetMode="External"/><Relationship Id="rId27" Type="http://schemas.openxmlformats.org/officeDocument/2006/relationships/hyperlink" Target="https://doi.org/10.1007/s40751-022-00118-x" TargetMode="External"/><Relationship Id="rId30" Type="http://schemas.openxmlformats.org/officeDocument/2006/relationships/hyperlink" Target="https://doi.org/10.1007/s42330-020-00103-9" TargetMode="External"/><Relationship Id="rId35" Type="http://schemas.openxmlformats.org/officeDocument/2006/relationships/hyperlink" Target="https://doi.org/10.1007/s13394-021-00372-9" TargetMode="External"/><Relationship Id="rId43" Type="http://schemas.openxmlformats.org/officeDocument/2006/relationships/theme" Target="theme/theme1.xml"/><Relationship Id="rId8" Type="http://schemas.openxmlformats.org/officeDocument/2006/relationships/hyperlink" Target="mailto:ratuilma@unsri.ac.id" TargetMode="External"/><Relationship Id="rId3" Type="http://schemas.openxmlformats.org/officeDocument/2006/relationships/styles" Target="styles.xml"/><Relationship Id="rId12" Type="http://schemas.openxmlformats.org/officeDocument/2006/relationships/hyperlink" Target="mailto:ratuilma@unsri.ac.id" TargetMode="External"/><Relationship Id="rId17" Type="http://schemas.openxmlformats.org/officeDocument/2006/relationships/hyperlink" Target="https://doi.org/10.23887/jp2.v5i2.48695" TargetMode="External"/><Relationship Id="rId25" Type="http://schemas.openxmlformats.org/officeDocument/2006/relationships/hyperlink" Target="https://doi.org/10.3837/tiis.2021.03.011" TargetMode="External"/><Relationship Id="rId33" Type="http://schemas.openxmlformats.org/officeDocument/2006/relationships/hyperlink" Target="https://doi.org/10.1080/0020739X.2019.1683778" TargetMode="External"/><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70</TotalTime>
  <Pages>11</Pages>
  <Words>5655</Words>
  <Characters>32235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Dwi Jayati</dc:creator>
  <cp:keywords/>
  <dc:description/>
  <cp:lastModifiedBy>NURFITRIYANA</cp:lastModifiedBy>
  <cp:revision>5</cp:revision>
  <cp:lastPrinted>2022-03-12T14:54:00Z</cp:lastPrinted>
  <dcterms:created xsi:type="dcterms:W3CDTF">2026-01-16T11:37:00Z</dcterms:created>
  <dcterms:modified xsi:type="dcterms:W3CDTF">2026-01-16T12:47:00Z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