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F671A6" w14:textId="77777777" w:rsidR="00825D42" w:rsidRDefault="00825D42" w:rsidP="002C57D4">
      <w:pPr>
        <w:pStyle w:val="Alishlah13authornames"/>
      </w:pPr>
    </w:p>
    <w:p w14:paraId="2B72ABB9" w14:textId="77777777" w:rsidR="00825D42" w:rsidRDefault="00825D42" w:rsidP="002C57D4">
      <w:pPr>
        <w:pStyle w:val="Alishlah13authornames"/>
      </w:pPr>
    </w:p>
    <w:p w14:paraId="4A3B78F2" w14:textId="77777777" w:rsidR="00741921" w:rsidRDefault="00825D42" w:rsidP="002C57D4">
      <w:pPr>
        <w:pStyle w:val="Alishlah13authornames"/>
        <w:rPr>
          <w:sz w:val="28"/>
          <w:szCs w:val="28"/>
        </w:rPr>
      </w:pPr>
      <w:r w:rsidRPr="00825D42">
        <w:rPr>
          <w:sz w:val="28"/>
          <w:szCs w:val="28"/>
        </w:rPr>
        <w:t>Creative Thinking Profile in Solving Geometry Problems Viewed from Differences in Adversity Quotient (AQ) Adaptation</w:t>
      </w:r>
      <w:r w:rsidR="00741921">
        <w:rPr>
          <w:sz w:val="28"/>
          <w:szCs w:val="28"/>
        </w:rPr>
        <w:br/>
      </w:r>
    </w:p>
    <w:p w14:paraId="01278C85" w14:textId="25EDB993" w:rsidR="00BE398A" w:rsidRPr="00741921" w:rsidRDefault="00FF155D" w:rsidP="002C57D4">
      <w:pPr>
        <w:pStyle w:val="Alishlah13authornames"/>
        <w:rPr>
          <w:sz w:val="28"/>
          <w:szCs w:val="28"/>
        </w:rPr>
      </w:pPr>
      <w:r w:rsidRPr="00FF155D">
        <w:rPr>
          <w:sz w:val="22"/>
          <w:lang w:val="en-GB"/>
        </w:rPr>
        <w:t xml:space="preserve"> </w:t>
      </w:r>
      <w:proofErr w:type="spellStart"/>
      <w:r w:rsidR="00FD0B2B" w:rsidRPr="00FF155D">
        <w:rPr>
          <w:sz w:val="22"/>
          <w:lang w:val="en-GB"/>
        </w:rPr>
        <w:t>Athrieana</w:t>
      </w:r>
      <w:proofErr w:type="spellEnd"/>
      <w:r w:rsidR="00741921">
        <w:rPr>
          <w:sz w:val="22"/>
          <w:lang w:val="en-GB"/>
        </w:rPr>
        <w:t xml:space="preserve"> Badi</w:t>
      </w:r>
      <w:r w:rsidR="007E6AA6" w:rsidRPr="00FF155D">
        <w:rPr>
          <w:sz w:val="22"/>
          <w:vertAlign w:val="superscript"/>
          <w:lang w:val="en-GB"/>
        </w:rPr>
        <w:t>1</w:t>
      </w:r>
      <w:r w:rsidR="00825D42">
        <w:rPr>
          <w:lang w:val="en-GB"/>
        </w:rPr>
        <w:t>,</w:t>
      </w:r>
      <w:r w:rsidR="00825D42" w:rsidRPr="00825D42">
        <w:t xml:space="preserve"> </w:t>
      </w:r>
      <w:r w:rsidR="00825D42" w:rsidRPr="00825D42">
        <w:rPr>
          <w:lang w:val="en-GB"/>
        </w:rPr>
        <w:t xml:space="preserve">Sonny </w:t>
      </w:r>
      <w:proofErr w:type="spellStart"/>
      <w:r w:rsidR="00825D42" w:rsidRPr="00825D42">
        <w:rPr>
          <w:lang w:val="en-GB"/>
        </w:rPr>
        <w:t>Yalti</w:t>
      </w:r>
      <w:proofErr w:type="spellEnd"/>
      <w:r w:rsidR="00825D42" w:rsidRPr="00825D42">
        <w:rPr>
          <w:lang w:val="en-GB"/>
        </w:rPr>
        <w:t xml:space="preserve"> Duma</w:t>
      </w:r>
      <w:r w:rsidR="00825D42">
        <w:rPr>
          <w:vertAlign w:val="superscript"/>
          <w:lang w:val="en-GB"/>
        </w:rPr>
        <w:t>2</w:t>
      </w:r>
      <w:r w:rsidR="00825D42">
        <w:rPr>
          <w:lang w:val="en-GB"/>
        </w:rPr>
        <w:t>,</w:t>
      </w:r>
      <w:r w:rsidR="00825D42" w:rsidRPr="00825D42">
        <w:t xml:space="preserve"> </w:t>
      </w:r>
      <w:proofErr w:type="spellStart"/>
      <w:r w:rsidR="00825D42" w:rsidRPr="00825D42">
        <w:rPr>
          <w:lang w:val="en-GB"/>
        </w:rPr>
        <w:t>Hersiyati</w:t>
      </w:r>
      <w:proofErr w:type="spellEnd"/>
      <w:r w:rsidR="00825D42" w:rsidRPr="00825D42">
        <w:rPr>
          <w:lang w:val="en-GB"/>
        </w:rPr>
        <w:t xml:space="preserve"> Palayukan</w:t>
      </w:r>
      <w:r w:rsidR="00825D42">
        <w:rPr>
          <w:vertAlign w:val="superscript"/>
          <w:lang w:val="en-GB"/>
        </w:rPr>
        <w:t>3</w:t>
      </w:r>
      <w:proofErr w:type="gramStart"/>
      <w:r w:rsidR="00825D42">
        <w:rPr>
          <w:lang w:val="en-GB"/>
        </w:rPr>
        <w:t>,Suri</w:t>
      </w:r>
      <w:proofErr w:type="gramEnd"/>
      <w:r w:rsidR="00825D42">
        <w:rPr>
          <w:lang w:val="en-GB"/>
        </w:rPr>
        <w:t xml:space="preserve"> </w:t>
      </w:r>
      <w:proofErr w:type="spellStart"/>
      <w:r w:rsidR="00825D42">
        <w:rPr>
          <w:lang w:val="en-GB"/>
        </w:rPr>
        <w:t>Toding</w:t>
      </w:r>
      <w:proofErr w:type="spellEnd"/>
      <w:r w:rsidR="00825D42">
        <w:rPr>
          <w:lang w:val="en-GB"/>
        </w:rPr>
        <w:t xml:space="preserve"> Lembang</w:t>
      </w:r>
      <w:r w:rsidR="00825D42">
        <w:rPr>
          <w:vertAlign w:val="superscript"/>
          <w:lang w:val="en-GB"/>
        </w:rPr>
        <w:t>4</w:t>
      </w:r>
    </w:p>
    <w:p w14:paraId="03B8B60A" w14:textId="44A3E52C" w:rsidR="00825D42" w:rsidRDefault="00BE398A" w:rsidP="00825D42">
      <w:pPr>
        <w:pStyle w:val="Alishlah16affiliation"/>
        <w:ind w:left="0" w:firstLine="0"/>
        <w:rPr>
          <w:color w:val="auto"/>
          <w:lang w:val="en-GB"/>
        </w:rPr>
      </w:pPr>
      <w:r w:rsidRPr="00A75CB1">
        <w:rPr>
          <w:color w:val="auto"/>
          <w:vertAlign w:val="superscript"/>
          <w:lang w:val="en-GB"/>
        </w:rPr>
        <w:t>1</w:t>
      </w:r>
      <w:r w:rsidR="00FD0B2B">
        <w:rPr>
          <w:color w:val="auto"/>
          <w:lang w:val="en-GB"/>
        </w:rPr>
        <w:t xml:space="preserve">Universitas Kristen Indonesia </w:t>
      </w:r>
      <w:proofErr w:type="spellStart"/>
      <w:r w:rsidR="00FD0B2B">
        <w:rPr>
          <w:color w:val="auto"/>
          <w:lang w:val="en-GB"/>
        </w:rPr>
        <w:t>Toraja</w:t>
      </w:r>
      <w:proofErr w:type="spellEnd"/>
      <w:r w:rsidR="002B31FD" w:rsidRPr="002B31FD">
        <w:rPr>
          <w:color w:val="auto"/>
          <w:lang w:val="en-GB"/>
        </w:rPr>
        <w:t xml:space="preserve">; </w:t>
      </w:r>
      <w:bookmarkStart w:id="0" w:name="_GoBack"/>
      <w:r w:rsidR="003D7DFB">
        <w:fldChar w:fldCharType="begin"/>
      </w:r>
      <w:r w:rsidR="003D7DFB">
        <w:instrText xml:space="preserve"> HYPERLINK "mailto:athrieanabadi72@guru.sma.belajar.id" </w:instrText>
      </w:r>
      <w:r w:rsidR="003D7DFB">
        <w:fldChar w:fldCharType="separate"/>
      </w:r>
      <w:r w:rsidR="00825D42" w:rsidRPr="007F75B3">
        <w:rPr>
          <w:rStyle w:val="Hyperlink"/>
          <w:lang w:val="en-GB"/>
        </w:rPr>
        <w:t>athrieanabadi72@guru.sma.belajar.id</w:t>
      </w:r>
      <w:r w:rsidR="003D7DFB">
        <w:rPr>
          <w:rStyle w:val="Hyperlink"/>
          <w:lang w:val="en-GB"/>
        </w:rPr>
        <w:fldChar w:fldCharType="end"/>
      </w:r>
      <w:bookmarkEnd w:id="0"/>
      <w:r w:rsidR="00825D42">
        <w:rPr>
          <w:color w:val="auto"/>
          <w:lang w:val="en-GB"/>
        </w:rPr>
        <w:br/>
      </w:r>
      <w:r w:rsidR="00825D42">
        <w:rPr>
          <w:color w:val="auto"/>
          <w:vertAlign w:val="superscript"/>
          <w:lang w:val="en-GB"/>
        </w:rPr>
        <w:t>2</w:t>
      </w:r>
      <w:r w:rsidR="00825D42">
        <w:rPr>
          <w:color w:val="auto"/>
          <w:lang w:val="en-GB"/>
        </w:rPr>
        <w:t xml:space="preserve">Universitas Kristen Indonesia </w:t>
      </w:r>
      <w:proofErr w:type="spellStart"/>
      <w:r w:rsidR="00825D42">
        <w:rPr>
          <w:color w:val="auto"/>
          <w:lang w:val="en-GB"/>
        </w:rPr>
        <w:t>Toraja</w:t>
      </w:r>
      <w:proofErr w:type="spellEnd"/>
      <w:r w:rsidR="00825D42" w:rsidRPr="002B31FD">
        <w:rPr>
          <w:color w:val="auto"/>
          <w:lang w:val="en-GB"/>
        </w:rPr>
        <w:t xml:space="preserve">; </w:t>
      </w:r>
      <w:hyperlink r:id="rId9" w:history="1">
        <w:r w:rsidR="00825D42" w:rsidRPr="007F75B3">
          <w:rPr>
            <w:rStyle w:val="Hyperlink"/>
            <w:lang w:val="en-GB"/>
          </w:rPr>
          <w:t>sonny_yalti@ukitoraja.ac.id</w:t>
        </w:r>
      </w:hyperlink>
    </w:p>
    <w:p w14:paraId="13862485" w14:textId="372A5912" w:rsidR="00825D42" w:rsidRDefault="00825D42" w:rsidP="00825D42">
      <w:pPr>
        <w:pStyle w:val="Alishlah16affiliation"/>
        <w:ind w:left="0" w:firstLine="0"/>
        <w:rPr>
          <w:color w:val="auto"/>
          <w:lang w:val="en-GB"/>
        </w:rPr>
      </w:pPr>
      <w:r>
        <w:rPr>
          <w:color w:val="auto"/>
          <w:vertAlign w:val="superscript"/>
          <w:lang w:val="en-GB"/>
        </w:rPr>
        <w:t>3</w:t>
      </w:r>
      <w:r>
        <w:rPr>
          <w:color w:val="auto"/>
          <w:lang w:val="en-GB"/>
        </w:rPr>
        <w:t xml:space="preserve">Universitas Kristen Indonesia </w:t>
      </w:r>
      <w:proofErr w:type="spellStart"/>
      <w:r>
        <w:rPr>
          <w:color w:val="auto"/>
          <w:lang w:val="en-GB"/>
        </w:rPr>
        <w:t>Toraja</w:t>
      </w:r>
      <w:proofErr w:type="spellEnd"/>
      <w:r w:rsidRPr="002B31FD">
        <w:rPr>
          <w:color w:val="auto"/>
          <w:lang w:val="en-GB"/>
        </w:rPr>
        <w:t xml:space="preserve">; </w:t>
      </w:r>
      <w:hyperlink r:id="rId10" w:history="1">
        <w:r w:rsidRPr="007F75B3">
          <w:rPr>
            <w:rStyle w:val="Hyperlink"/>
            <w:lang w:val="en-GB"/>
          </w:rPr>
          <w:t>hersiyati@ukitoraja.ac.id</w:t>
        </w:r>
      </w:hyperlink>
      <w:r>
        <w:rPr>
          <w:color w:val="auto"/>
          <w:lang w:val="en-GB"/>
        </w:rPr>
        <w:t xml:space="preserve"> </w:t>
      </w:r>
    </w:p>
    <w:p w14:paraId="69F3D2BC" w14:textId="698DD30F" w:rsidR="00825D42" w:rsidRDefault="00825D42" w:rsidP="00825D42">
      <w:pPr>
        <w:pStyle w:val="Alishlah16affiliation"/>
        <w:ind w:left="0" w:firstLine="0"/>
        <w:rPr>
          <w:color w:val="auto"/>
          <w:lang w:val="en-GB"/>
        </w:rPr>
      </w:pPr>
      <w:r>
        <w:rPr>
          <w:color w:val="auto"/>
          <w:vertAlign w:val="superscript"/>
          <w:lang w:val="en-GB"/>
        </w:rPr>
        <w:t>4</w:t>
      </w:r>
      <w:r>
        <w:rPr>
          <w:color w:val="auto"/>
          <w:lang w:val="en-GB"/>
        </w:rPr>
        <w:t xml:space="preserve">Universitas Kristen Indonesia </w:t>
      </w:r>
      <w:proofErr w:type="spellStart"/>
      <w:r>
        <w:rPr>
          <w:color w:val="auto"/>
          <w:lang w:val="en-GB"/>
        </w:rPr>
        <w:t>Toraja</w:t>
      </w:r>
      <w:proofErr w:type="spellEnd"/>
      <w:r w:rsidRPr="002B31FD">
        <w:rPr>
          <w:color w:val="auto"/>
          <w:lang w:val="en-GB"/>
        </w:rPr>
        <w:t xml:space="preserve">; </w:t>
      </w:r>
      <w:hyperlink r:id="rId11" w:history="1">
        <w:r w:rsidRPr="007F75B3">
          <w:rPr>
            <w:rStyle w:val="Hyperlink"/>
            <w:lang w:val="en-GB"/>
          </w:rPr>
          <w:t>karitutusuri@gmail.com</w:t>
        </w:r>
      </w:hyperlink>
    </w:p>
    <w:p w14:paraId="445A5F3F" w14:textId="00E6D81F" w:rsidR="00825D42" w:rsidRDefault="00825D42" w:rsidP="00825D42">
      <w:pPr>
        <w:pStyle w:val="Alishlah16affiliation"/>
        <w:ind w:left="0" w:firstLine="0"/>
        <w:rPr>
          <w:color w:val="auto"/>
          <w:lang w:val="en-GB"/>
        </w:rPr>
      </w:pPr>
      <w:r>
        <w:rPr>
          <w:color w:val="auto"/>
          <w:lang w:val="en-GB"/>
        </w:rPr>
        <w:br/>
      </w:r>
    </w:p>
    <w:p w14:paraId="5A57DD4F" w14:textId="50DBEBB9" w:rsidR="00B72F3D" w:rsidRDefault="00B72F3D" w:rsidP="00825D42">
      <w:pPr>
        <w:pStyle w:val="Alishlah16affiliation"/>
        <w:ind w:left="0" w:firstLine="0"/>
        <w:rPr>
          <w:color w:val="auto"/>
          <w:lang w:val="en-GB"/>
        </w:rPr>
      </w:pPr>
    </w:p>
    <w:p w14:paraId="77D20513"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51291D30" w14:textId="77777777" w:rsidTr="0048254D">
        <w:trPr>
          <w:jc w:val="center"/>
        </w:trPr>
        <w:tc>
          <w:tcPr>
            <w:tcW w:w="2787" w:type="dxa"/>
            <w:tcBorders>
              <w:top w:val="double" w:sz="4" w:space="0" w:color="auto"/>
              <w:left w:val="nil"/>
              <w:bottom w:val="single" w:sz="4" w:space="0" w:color="auto"/>
              <w:right w:val="nil"/>
            </w:tcBorders>
          </w:tcPr>
          <w:p w14:paraId="4F19A0E3"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253E0F64"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58E12A85"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621CAAFF" w14:textId="77777777" w:rsidTr="0048254D">
        <w:trPr>
          <w:trHeight w:val="1268"/>
          <w:jc w:val="center"/>
        </w:trPr>
        <w:tc>
          <w:tcPr>
            <w:tcW w:w="2787" w:type="dxa"/>
            <w:tcBorders>
              <w:top w:val="single" w:sz="4" w:space="0" w:color="auto"/>
              <w:left w:val="nil"/>
              <w:bottom w:val="single" w:sz="4" w:space="0" w:color="auto"/>
              <w:right w:val="nil"/>
            </w:tcBorders>
          </w:tcPr>
          <w:p w14:paraId="3151915B"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21421E83" w14:textId="23198839" w:rsidR="002B31FD" w:rsidRDefault="00525C75" w:rsidP="00290481">
            <w:pPr>
              <w:pStyle w:val="Alishlah18keywords"/>
            </w:pPr>
            <w:r>
              <w:t>c</w:t>
            </w:r>
            <w:r>
              <w:t>reative thinking</w:t>
            </w:r>
            <w:r w:rsidR="002B31FD" w:rsidRPr="002B31FD">
              <w:t xml:space="preserve">; </w:t>
            </w:r>
          </w:p>
          <w:p w14:paraId="009941E3" w14:textId="0FBE9D47" w:rsidR="002B31FD" w:rsidRDefault="00525C75" w:rsidP="00290481">
            <w:pPr>
              <w:pStyle w:val="Alishlah18keywords"/>
            </w:pPr>
            <w:r>
              <w:t>geometry</w:t>
            </w:r>
            <w:r w:rsidR="002B31FD" w:rsidRPr="002B31FD">
              <w:t xml:space="preserve">; </w:t>
            </w:r>
          </w:p>
          <w:p w14:paraId="12816115" w14:textId="7FFB81F7" w:rsidR="002B31FD" w:rsidRDefault="00BB1A84" w:rsidP="00290481">
            <w:pPr>
              <w:pStyle w:val="Alishlah18keywords"/>
            </w:pPr>
            <w:r>
              <w:t>adversity quotient</w:t>
            </w:r>
            <w:r w:rsidR="002B31FD" w:rsidRPr="002B31FD">
              <w:t xml:space="preserve"> </w:t>
            </w:r>
          </w:p>
          <w:p w14:paraId="08761E47" w14:textId="77777777" w:rsidR="002B31FD" w:rsidRDefault="002B31FD" w:rsidP="00290481">
            <w:pPr>
              <w:pStyle w:val="Alishlah18keywords"/>
            </w:pPr>
          </w:p>
          <w:p w14:paraId="23B7294E" w14:textId="77777777" w:rsidR="0048254D" w:rsidRPr="0048254D" w:rsidRDefault="0048254D" w:rsidP="00BB1A84">
            <w:pPr>
              <w:pStyle w:val="Alishlah18keywords"/>
            </w:pPr>
          </w:p>
        </w:tc>
        <w:tc>
          <w:tcPr>
            <w:tcW w:w="282" w:type="dxa"/>
            <w:vMerge w:val="restart"/>
            <w:tcBorders>
              <w:top w:val="nil"/>
              <w:left w:val="nil"/>
              <w:bottom w:val="nil"/>
              <w:right w:val="nil"/>
            </w:tcBorders>
          </w:tcPr>
          <w:p w14:paraId="44B86669"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713D9226" w14:textId="345DC854" w:rsidR="0048254D" w:rsidRPr="00E45249" w:rsidRDefault="00FF155D" w:rsidP="00E45249">
            <w:pPr>
              <w:pStyle w:val="Alishlah17abstract"/>
            </w:pPr>
            <w:r>
              <w:t>Creative thinking ability is an essential skill in mathematics learning, particularly in solving geometry problems that require conceptual fluency, flexibility of thought, elaboration, and originality of ideas. This study aims to describe students’ creative thinking processes in solving geometry problems based on differences in Adversity Quotient (AQ) levels, namely Climber (high), Camper (moderate), and Quitter (low). This research employs a descriptive qualitative approach with data collected through a geometry-based creative thinking test and semi-structured interviews. The subjects consist of three eighth-grade students selected based on their AQ test results. The findings indicate that students with high AQ demonstrate a complete creative thinking process, characterized by fluency, flexibility, elaboration, and originality. Students with moderate AQ show limited creative thinking processes, tend to use routine strategies, and exhibit less exploration. Meanwhile, students with low AQ tend to give up easily, fail to complete the tasks, and show minimal initiative to think of alternative solutions. These findings suggest that resilience in facing difficulties (AQ) influences the quality of students’ creative thinking processes when solving mathematical problems. The implications of this study highlight the importance of developing learning strategies that not only focus on cognitive aspects but also strengthen students’ perseverance and motivation.</w:t>
            </w:r>
          </w:p>
        </w:tc>
      </w:tr>
      <w:tr w:rsidR="0048254D" w:rsidRPr="0048254D" w14:paraId="0B88C435"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00D8E7C2"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1C3FBF44" w14:textId="77777777" w:rsidR="0048254D" w:rsidRPr="006A6719" w:rsidRDefault="0048254D" w:rsidP="00E45249">
            <w:pPr>
              <w:pStyle w:val="Alishlah14history"/>
            </w:pPr>
            <w:r w:rsidRPr="006A6719">
              <w:t xml:space="preserve">Received </w:t>
            </w:r>
            <w:r w:rsidR="00FA43FF" w:rsidRPr="00FA43FF">
              <w:t>2021-08-14</w:t>
            </w:r>
          </w:p>
          <w:p w14:paraId="5499599D"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1A0FAD13"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666F6334"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5A3DAFA9"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5A15D697" w14:textId="77777777" w:rsidTr="0048254D">
        <w:trPr>
          <w:trHeight w:val="70"/>
          <w:jc w:val="center"/>
        </w:trPr>
        <w:tc>
          <w:tcPr>
            <w:tcW w:w="2787" w:type="dxa"/>
            <w:vMerge/>
            <w:tcBorders>
              <w:top w:val="single" w:sz="4" w:space="0" w:color="auto"/>
              <w:left w:val="nil"/>
              <w:bottom w:val="single" w:sz="4" w:space="0" w:color="auto"/>
              <w:right w:val="nil"/>
            </w:tcBorders>
          </w:tcPr>
          <w:p w14:paraId="18DBE89E"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777B430"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56487785"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2"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51DFA3D"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105F558B" wp14:editId="34617303">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3A1D272C" w14:textId="77777777" w:rsidTr="0048254D">
        <w:trPr>
          <w:jc w:val="center"/>
        </w:trPr>
        <w:tc>
          <w:tcPr>
            <w:tcW w:w="8845" w:type="dxa"/>
            <w:gridSpan w:val="3"/>
            <w:tcBorders>
              <w:top w:val="nil"/>
              <w:left w:val="nil"/>
              <w:bottom w:val="double" w:sz="4" w:space="0" w:color="auto"/>
              <w:right w:val="nil"/>
            </w:tcBorders>
          </w:tcPr>
          <w:p w14:paraId="12D6564B" w14:textId="77777777" w:rsidR="0048254D" w:rsidRPr="00E45249" w:rsidRDefault="0048254D" w:rsidP="00E45249">
            <w:pPr>
              <w:pStyle w:val="Alishlah16affiliation"/>
              <w:ind w:left="0" w:firstLine="10"/>
              <w:rPr>
                <w:b/>
                <w:bCs/>
              </w:rPr>
            </w:pPr>
            <w:bookmarkStart w:id="1" w:name="_Hlk97159440"/>
            <w:r w:rsidRPr="00E45249">
              <w:rPr>
                <w:b/>
                <w:bCs/>
              </w:rPr>
              <w:t>Corresponding Author</w:t>
            </w:r>
            <w:bookmarkEnd w:id="1"/>
            <w:r w:rsidRPr="00E45249">
              <w:rPr>
                <w:b/>
                <w:bCs/>
              </w:rPr>
              <w:t>:</w:t>
            </w:r>
          </w:p>
          <w:p w14:paraId="43B94341" w14:textId="34FBA630" w:rsidR="00457015" w:rsidRDefault="00BB1A84" w:rsidP="00E45249">
            <w:pPr>
              <w:pStyle w:val="Alishlah2authorcorrespondence"/>
            </w:pPr>
            <w:proofErr w:type="spellStart"/>
            <w:r>
              <w:t>Badi</w:t>
            </w:r>
            <w:proofErr w:type="spellEnd"/>
            <w:r>
              <w:t xml:space="preserve"> </w:t>
            </w:r>
            <w:proofErr w:type="spellStart"/>
            <w:r>
              <w:t>Athrieana</w:t>
            </w:r>
            <w:proofErr w:type="spellEnd"/>
            <w:r w:rsidR="00457015" w:rsidRPr="00457015">
              <w:t xml:space="preserve"> </w:t>
            </w:r>
          </w:p>
          <w:p w14:paraId="3555DD72" w14:textId="1B2D1214" w:rsidR="0048254D" w:rsidRPr="0048254D" w:rsidRDefault="00BB1A84" w:rsidP="00E45249">
            <w:pPr>
              <w:pStyle w:val="Alishlah2authorcorrespondence"/>
            </w:pPr>
            <w:proofErr w:type="spellStart"/>
            <w:r>
              <w:rPr>
                <w:color w:val="auto"/>
                <w:lang w:val="en-GB"/>
              </w:rPr>
              <w:lastRenderedPageBreak/>
              <w:t>Universitas</w:t>
            </w:r>
            <w:proofErr w:type="spellEnd"/>
            <w:r>
              <w:rPr>
                <w:color w:val="auto"/>
                <w:lang w:val="en-GB"/>
              </w:rPr>
              <w:t xml:space="preserve"> Kristen Indonesia </w:t>
            </w:r>
            <w:proofErr w:type="spellStart"/>
            <w:r>
              <w:rPr>
                <w:color w:val="auto"/>
                <w:lang w:val="en-GB"/>
              </w:rPr>
              <w:t>Toraja</w:t>
            </w:r>
            <w:proofErr w:type="spellEnd"/>
            <w:r w:rsidR="002B31FD" w:rsidRPr="002B31FD">
              <w:rPr>
                <w:color w:val="auto"/>
                <w:lang w:val="en-GB"/>
              </w:rPr>
              <w:t xml:space="preserve"> 1; </w:t>
            </w:r>
            <w:r>
              <w:rPr>
                <w:color w:val="auto"/>
                <w:lang w:val="en-GB"/>
              </w:rPr>
              <w:t>athrieanabadi72@guru.sma.belajar.id</w:t>
            </w:r>
          </w:p>
        </w:tc>
      </w:tr>
    </w:tbl>
    <w:p w14:paraId="0B7484C6" w14:textId="77777777" w:rsidR="008E64A2" w:rsidRPr="00A75CB1" w:rsidRDefault="0048254D" w:rsidP="00A10E86">
      <w:pPr>
        <w:pStyle w:val="Alishlah21heading1"/>
        <w:rPr>
          <w:lang w:val="en-GB"/>
        </w:rPr>
      </w:pPr>
      <w:r w:rsidRPr="00A75CB1">
        <w:rPr>
          <w:lang w:val="en-GB"/>
        </w:rPr>
        <w:lastRenderedPageBreak/>
        <w:t>INTRODUCTION</w:t>
      </w:r>
    </w:p>
    <w:p w14:paraId="3C84E60F" w14:textId="77777777" w:rsidR="00FF155D" w:rsidRPr="00FF155D" w:rsidRDefault="00FF155D" w:rsidP="00FF155D">
      <w:pPr>
        <w:spacing w:before="100" w:beforeAutospacing="1" w:after="100" w:afterAutospacing="1" w:line="240" w:lineRule="auto"/>
        <w:jc w:val="both"/>
        <w:rPr>
          <w:rFonts w:ascii="Palatino Linotype" w:eastAsia="Times New Roman" w:hAnsi="Palatino Linotype" w:cs="Times New Roman"/>
          <w:sz w:val="20"/>
          <w:szCs w:val="20"/>
          <w:lang w:val="en-US"/>
        </w:rPr>
      </w:pPr>
      <w:r w:rsidRPr="00FF155D">
        <w:rPr>
          <w:rFonts w:ascii="Palatino Linotype" w:eastAsia="Times New Roman" w:hAnsi="Palatino Linotype" w:cs="Times New Roman"/>
          <w:sz w:val="20"/>
          <w:szCs w:val="20"/>
          <w:lang w:val="en-US"/>
        </w:rPr>
        <w:t>Creative thinking ability is one of the essential competencies in modern education, particularly in cultivating 21st-century skills. In mathematics learning, creative thinking plays an important role in helping students develop original ideas, view problems from various perspectives, and formulate innovative solutions. Creativity in mathematics is not only focused on the final product but also on the thinking process (</w:t>
      </w:r>
      <w:proofErr w:type="spellStart"/>
      <w:r w:rsidRPr="00FF155D">
        <w:rPr>
          <w:rFonts w:ascii="Palatino Linotype" w:eastAsia="Times New Roman" w:hAnsi="Palatino Linotype" w:cs="Times New Roman"/>
          <w:sz w:val="20"/>
          <w:szCs w:val="20"/>
          <w:lang w:val="en-US"/>
        </w:rPr>
        <w:t>Langi</w:t>
      </w:r>
      <w:proofErr w:type="spellEnd"/>
      <w:r w:rsidRPr="00FF155D">
        <w:rPr>
          <w:rFonts w:ascii="Palatino Linotype" w:eastAsia="Times New Roman" w:hAnsi="Palatino Linotype" w:cs="Times New Roman"/>
          <w:sz w:val="20"/>
          <w:szCs w:val="20"/>
          <w:lang w:val="en-US"/>
        </w:rPr>
        <w:t>, 2022), which enables students to explore, experiment, and innovate in identifying mathematical patterns and relationships.</w:t>
      </w:r>
    </w:p>
    <w:p w14:paraId="517AB214" w14:textId="77777777" w:rsidR="00FF155D" w:rsidRPr="00FF155D" w:rsidRDefault="00FF155D" w:rsidP="00FF155D">
      <w:pPr>
        <w:spacing w:before="100" w:beforeAutospacing="1" w:after="100" w:afterAutospacing="1" w:line="240" w:lineRule="auto"/>
        <w:jc w:val="both"/>
        <w:rPr>
          <w:rFonts w:ascii="Palatino Linotype" w:eastAsia="Times New Roman" w:hAnsi="Palatino Linotype" w:cs="Times New Roman"/>
          <w:sz w:val="20"/>
          <w:szCs w:val="20"/>
          <w:lang w:val="en-US"/>
        </w:rPr>
      </w:pPr>
      <w:r w:rsidRPr="00FF155D">
        <w:rPr>
          <w:rFonts w:ascii="Palatino Linotype" w:eastAsia="Times New Roman" w:hAnsi="Palatino Linotype" w:cs="Times New Roman"/>
          <w:sz w:val="20"/>
          <w:szCs w:val="20"/>
          <w:lang w:val="en-US"/>
        </w:rPr>
        <w:t>Creative thinking is especially needed in solving geometry problems, which are often complex and require spatial understanding as well as visual representation skills. Geometry demands that students be able to visualize objects, imagine transformations, and generate problem-solving strategies from various approaches. Students with strong creative thinking skills tend to produce uncommon solutions, construct logical arguments, and elaborate their answers more thoroughly. Through his creative thinking test, Torrance (Kim et al., 2023) identifies four key indicators of creative thinking: fluency (the ability to generate multiple ideas), flexibility (the ability to switch approaches or perspectives), originality (the novelty of ideas), and elaboration (the enrichment and refinement of ideas). These four indicators serve as measures for assessing the quality of students’ creative thinking processes when solving mathematical problems.</w:t>
      </w:r>
    </w:p>
    <w:p w14:paraId="6B0E80EE" w14:textId="77777777" w:rsidR="00FF155D" w:rsidRPr="00FF155D" w:rsidRDefault="00FF155D" w:rsidP="00FF155D">
      <w:pPr>
        <w:spacing w:before="100" w:beforeAutospacing="1" w:after="100" w:afterAutospacing="1" w:line="240" w:lineRule="auto"/>
        <w:jc w:val="both"/>
        <w:rPr>
          <w:rFonts w:ascii="Palatino Linotype" w:eastAsia="Times New Roman" w:hAnsi="Palatino Linotype" w:cs="Times New Roman"/>
          <w:sz w:val="20"/>
          <w:szCs w:val="20"/>
          <w:lang w:val="en-US"/>
        </w:rPr>
      </w:pPr>
      <w:r w:rsidRPr="00FF155D">
        <w:rPr>
          <w:rFonts w:ascii="Palatino Linotype" w:eastAsia="Times New Roman" w:hAnsi="Palatino Linotype" w:cs="Times New Roman"/>
          <w:sz w:val="20"/>
          <w:szCs w:val="20"/>
          <w:lang w:val="en-US"/>
        </w:rPr>
        <w:t>In daily classroom practice, students’ creative thinking abilities are often not optimally developed. This is influenced by several interrelated factors. First, mathematics instruction in schools is still dominated by traditional, procedural (</w:t>
      </w:r>
      <w:proofErr w:type="spellStart"/>
      <w:r w:rsidRPr="00FF155D">
        <w:rPr>
          <w:rFonts w:ascii="Palatino Linotype" w:eastAsia="Times New Roman" w:hAnsi="Palatino Linotype" w:cs="Times New Roman"/>
          <w:sz w:val="20"/>
          <w:szCs w:val="20"/>
          <w:lang w:val="en-US"/>
        </w:rPr>
        <w:t>Langi</w:t>
      </w:r>
      <w:proofErr w:type="spellEnd"/>
      <w:r w:rsidRPr="00FF155D">
        <w:rPr>
          <w:rFonts w:ascii="Palatino Linotype" w:eastAsia="Times New Roman" w:hAnsi="Palatino Linotype" w:cs="Times New Roman"/>
          <w:sz w:val="20"/>
          <w:szCs w:val="20"/>
          <w:lang w:val="en-US"/>
        </w:rPr>
        <w:t>, 2021) and algorithmic approaches, where teachers emphasize routine exercises with one correct solution method (</w:t>
      </w:r>
      <w:proofErr w:type="spellStart"/>
      <w:r w:rsidRPr="00FF155D">
        <w:rPr>
          <w:rFonts w:ascii="Palatino Linotype" w:eastAsia="Times New Roman" w:hAnsi="Palatino Linotype" w:cs="Times New Roman"/>
          <w:sz w:val="20"/>
          <w:szCs w:val="20"/>
          <w:lang w:val="en-US"/>
        </w:rPr>
        <w:t>Suryosubroto</w:t>
      </w:r>
      <w:proofErr w:type="spellEnd"/>
      <w:r w:rsidRPr="00FF155D">
        <w:rPr>
          <w:rFonts w:ascii="Palatino Linotype" w:eastAsia="Times New Roman" w:hAnsi="Palatino Linotype" w:cs="Times New Roman"/>
          <w:sz w:val="20"/>
          <w:szCs w:val="20"/>
          <w:lang w:val="en-US"/>
        </w:rPr>
        <w:t xml:space="preserve">, 2002; </w:t>
      </w:r>
      <w:proofErr w:type="spellStart"/>
      <w:r w:rsidRPr="00FF155D">
        <w:rPr>
          <w:rFonts w:ascii="Palatino Linotype" w:eastAsia="Times New Roman" w:hAnsi="Palatino Linotype" w:cs="Times New Roman"/>
          <w:sz w:val="20"/>
          <w:szCs w:val="20"/>
          <w:lang w:val="en-US"/>
        </w:rPr>
        <w:t>Safitri</w:t>
      </w:r>
      <w:proofErr w:type="spellEnd"/>
      <w:r w:rsidRPr="00FF155D">
        <w:rPr>
          <w:rFonts w:ascii="Palatino Linotype" w:eastAsia="Times New Roman" w:hAnsi="Palatino Linotype" w:cs="Times New Roman"/>
          <w:sz w:val="20"/>
          <w:szCs w:val="20"/>
          <w:lang w:val="en-US"/>
        </w:rPr>
        <w:t xml:space="preserve">, 2022; </w:t>
      </w:r>
      <w:proofErr w:type="spellStart"/>
      <w:r w:rsidRPr="00FF155D">
        <w:rPr>
          <w:rFonts w:ascii="Palatino Linotype" w:eastAsia="Times New Roman" w:hAnsi="Palatino Linotype" w:cs="Times New Roman"/>
          <w:sz w:val="20"/>
          <w:szCs w:val="20"/>
          <w:lang w:val="en-US"/>
        </w:rPr>
        <w:t>Septianto</w:t>
      </w:r>
      <w:proofErr w:type="spellEnd"/>
      <w:r w:rsidRPr="00FF155D">
        <w:rPr>
          <w:rFonts w:ascii="Palatino Linotype" w:eastAsia="Times New Roman" w:hAnsi="Palatino Linotype" w:cs="Times New Roman"/>
          <w:sz w:val="20"/>
          <w:szCs w:val="20"/>
          <w:lang w:val="en-US"/>
        </w:rPr>
        <w:t>, 2022). Such approaches provide limited space for students to explore ideas, question concepts, and develop alternative strategies. Second, students are seldom given opportunities to solve open-ended or non-routine problems that challenge their creative thinking. Open-ended problems, which allow multiple answers or solution strategies, have been shown to encourage students to think more flexibly and creatively. However, in practice, curricula and assessment systems still largely rely on closed problems with a single correct answer, which restrict students’ exploration and creativity. Third, psychological and affective factors such as self-confidence, resilience in facing failure, and willingness to try new things also significantly influence the development of creative thinking. Many students easily feel pressured or give up when confronted with challenging problems, especially if they are not accustomed to working in supportive learning environments. In this context, the Adversity Quotient (AQ), which reflects one's resilience in facing difficulties, becomes an important factor (</w:t>
      </w:r>
      <w:proofErr w:type="spellStart"/>
      <w:r w:rsidRPr="00FF155D">
        <w:rPr>
          <w:rFonts w:ascii="Palatino Linotype" w:eastAsia="Times New Roman" w:hAnsi="Palatino Linotype" w:cs="Times New Roman"/>
          <w:sz w:val="20"/>
          <w:szCs w:val="20"/>
          <w:lang w:val="en-US"/>
        </w:rPr>
        <w:t>Putri</w:t>
      </w:r>
      <w:proofErr w:type="spellEnd"/>
      <w:r w:rsidRPr="00FF155D">
        <w:rPr>
          <w:rFonts w:ascii="Palatino Linotype" w:eastAsia="Times New Roman" w:hAnsi="Palatino Linotype" w:cs="Times New Roman"/>
          <w:sz w:val="20"/>
          <w:szCs w:val="20"/>
          <w:lang w:val="en-US"/>
        </w:rPr>
        <w:t>, 2021). Without support in building perseverance and a growth mindset, students tend to avoid taking risks in thinking and creating (</w:t>
      </w:r>
      <w:proofErr w:type="spellStart"/>
      <w:r w:rsidRPr="00FF155D">
        <w:rPr>
          <w:rFonts w:ascii="Palatino Linotype" w:eastAsia="Times New Roman" w:hAnsi="Palatino Linotype" w:cs="Times New Roman"/>
          <w:sz w:val="20"/>
          <w:szCs w:val="20"/>
          <w:lang w:val="en-US"/>
        </w:rPr>
        <w:t>Stoltz</w:t>
      </w:r>
      <w:proofErr w:type="spellEnd"/>
      <w:r w:rsidRPr="00FF155D">
        <w:rPr>
          <w:rFonts w:ascii="Palatino Linotype" w:eastAsia="Times New Roman" w:hAnsi="Palatino Linotype" w:cs="Times New Roman"/>
          <w:sz w:val="20"/>
          <w:szCs w:val="20"/>
          <w:lang w:val="en-US"/>
        </w:rPr>
        <w:t xml:space="preserve">, 1997). Furthermore, </w:t>
      </w:r>
      <w:proofErr w:type="spellStart"/>
      <w:r w:rsidRPr="00FF155D">
        <w:rPr>
          <w:rFonts w:ascii="Palatino Linotype" w:eastAsia="Times New Roman" w:hAnsi="Palatino Linotype" w:cs="Times New Roman"/>
          <w:sz w:val="20"/>
          <w:szCs w:val="20"/>
          <w:lang w:val="en-US"/>
        </w:rPr>
        <w:t>Munandar</w:t>
      </w:r>
      <w:proofErr w:type="spellEnd"/>
      <w:r w:rsidRPr="00FF155D">
        <w:rPr>
          <w:rFonts w:ascii="Palatino Linotype" w:eastAsia="Times New Roman" w:hAnsi="Palatino Linotype" w:cs="Times New Roman"/>
          <w:sz w:val="20"/>
          <w:szCs w:val="20"/>
          <w:lang w:val="en-US"/>
        </w:rPr>
        <w:t xml:space="preserve"> (2009) emphasizes that creativity can only grow in learning environments that provide psychological freedom, tolerance for mistakes, and appreciation for the thinking process—not merely the final result. Therefore, a shift in mathematics learning approaches is necessary to not only teach technical skills but also cultivate students’ confidence and courage to think beyond conventional boundaries.</w:t>
      </w:r>
    </w:p>
    <w:p w14:paraId="2675183C" w14:textId="77777777" w:rsidR="00FF155D" w:rsidRPr="00FF155D" w:rsidRDefault="00FF155D" w:rsidP="00FF155D">
      <w:pPr>
        <w:spacing w:before="100" w:beforeAutospacing="1" w:after="100" w:afterAutospacing="1" w:line="240" w:lineRule="auto"/>
        <w:jc w:val="both"/>
        <w:rPr>
          <w:rFonts w:ascii="Palatino Linotype" w:eastAsia="Times New Roman" w:hAnsi="Palatino Linotype" w:cs="Times New Roman"/>
          <w:sz w:val="20"/>
          <w:szCs w:val="20"/>
          <w:lang w:val="en-US"/>
        </w:rPr>
      </w:pPr>
      <w:r w:rsidRPr="00FF155D">
        <w:rPr>
          <w:rFonts w:ascii="Palatino Linotype" w:eastAsia="Times New Roman" w:hAnsi="Palatino Linotype" w:cs="Times New Roman"/>
          <w:sz w:val="20"/>
          <w:szCs w:val="20"/>
          <w:lang w:val="en-US"/>
        </w:rPr>
        <w:t>Adversity Quotient (AQ) is a relevant non-cognitive factor to examine. AQ refers to an individual’s ability to face difficulties, endure pressure, and transform challenges into opportunities (</w:t>
      </w:r>
      <w:proofErr w:type="spellStart"/>
      <w:r w:rsidRPr="00FF155D">
        <w:rPr>
          <w:rFonts w:ascii="Palatino Linotype" w:eastAsia="Times New Roman" w:hAnsi="Palatino Linotype" w:cs="Times New Roman"/>
          <w:sz w:val="20"/>
          <w:szCs w:val="20"/>
          <w:lang w:val="en-US"/>
        </w:rPr>
        <w:t>Stoltz</w:t>
      </w:r>
      <w:proofErr w:type="spellEnd"/>
      <w:r w:rsidRPr="00FF155D">
        <w:rPr>
          <w:rFonts w:ascii="Palatino Linotype" w:eastAsia="Times New Roman" w:hAnsi="Palatino Linotype" w:cs="Times New Roman"/>
          <w:sz w:val="20"/>
          <w:szCs w:val="20"/>
          <w:lang w:val="en-US"/>
        </w:rPr>
        <w:t>, 1997). AQ is categorized into three levels: high (Climber), moderate (Camper), and low (Quitter). Students with high AQ are more capable of thinking clearly and creatively when confronting difficult or unfamiliar problems. Conversely, students with low AQ tend to give up quickly, feel anxious, and refrain from exploring alternative solutions.</w:t>
      </w:r>
    </w:p>
    <w:p w14:paraId="752F6D51" w14:textId="77777777" w:rsidR="00FF155D" w:rsidRPr="00FF155D" w:rsidRDefault="00FF155D" w:rsidP="00FF155D">
      <w:pPr>
        <w:spacing w:before="100" w:beforeAutospacing="1" w:after="100" w:afterAutospacing="1" w:line="240" w:lineRule="auto"/>
        <w:jc w:val="both"/>
        <w:rPr>
          <w:rFonts w:ascii="Palatino Linotype" w:eastAsia="Times New Roman" w:hAnsi="Palatino Linotype" w:cs="Times New Roman"/>
          <w:sz w:val="20"/>
          <w:szCs w:val="20"/>
          <w:lang w:val="en-US"/>
        </w:rPr>
      </w:pPr>
      <w:r w:rsidRPr="00FF155D">
        <w:rPr>
          <w:rFonts w:ascii="Palatino Linotype" w:eastAsia="Times New Roman" w:hAnsi="Palatino Linotype" w:cs="Times New Roman"/>
          <w:sz w:val="20"/>
          <w:szCs w:val="20"/>
          <w:lang w:val="en-US"/>
        </w:rPr>
        <w:t xml:space="preserve">Based on the above explanation, this study seeks to further investigate students’ creative thinking in solving mathematical problems using open-ended tasks. The aim of this research is to analyze the creative thinking processes of students in solving geometry problems in relation to their varying levels of Adversity Quotient (AQ). The focus of the study is on how students with high, moderate, and low AQ demonstrate characteristics of creative thinking through their problem-solving strategies, diversity of approaches, and the uniqueness and depth of their ideas. Students’ creative thinking is measured using indicators proposed by Silver in Firdausi et al. (2018), namely fluency, flexibility, and novelty. Other indicators of creative thinking include originality, elaboration, and problem sensitivity. Research conducted by </w:t>
      </w:r>
      <w:proofErr w:type="spellStart"/>
      <w:r w:rsidRPr="00FF155D">
        <w:rPr>
          <w:rFonts w:ascii="Palatino Linotype" w:eastAsia="Times New Roman" w:hAnsi="Palatino Linotype" w:cs="Times New Roman"/>
          <w:sz w:val="20"/>
          <w:szCs w:val="20"/>
          <w:lang w:val="en-US"/>
        </w:rPr>
        <w:t>Febriyanti</w:t>
      </w:r>
      <w:proofErr w:type="spellEnd"/>
      <w:r w:rsidRPr="00FF155D">
        <w:rPr>
          <w:rFonts w:ascii="Palatino Linotype" w:eastAsia="Times New Roman" w:hAnsi="Palatino Linotype" w:cs="Times New Roman"/>
          <w:sz w:val="20"/>
          <w:szCs w:val="20"/>
          <w:lang w:val="en-US"/>
        </w:rPr>
        <w:t xml:space="preserve">, </w:t>
      </w:r>
      <w:proofErr w:type="spellStart"/>
      <w:r w:rsidRPr="00FF155D">
        <w:rPr>
          <w:rFonts w:ascii="Palatino Linotype" w:eastAsia="Times New Roman" w:hAnsi="Palatino Linotype" w:cs="Times New Roman"/>
          <w:sz w:val="20"/>
          <w:szCs w:val="20"/>
          <w:lang w:val="en-US"/>
        </w:rPr>
        <w:t>Hobri</w:t>
      </w:r>
      <w:proofErr w:type="spellEnd"/>
      <w:r w:rsidRPr="00FF155D">
        <w:rPr>
          <w:rFonts w:ascii="Palatino Linotype" w:eastAsia="Times New Roman" w:hAnsi="Palatino Linotype" w:cs="Times New Roman"/>
          <w:sz w:val="20"/>
          <w:szCs w:val="20"/>
          <w:lang w:val="en-US"/>
        </w:rPr>
        <w:t xml:space="preserve">, &amp; </w:t>
      </w:r>
      <w:proofErr w:type="spellStart"/>
      <w:r w:rsidRPr="00FF155D">
        <w:rPr>
          <w:rFonts w:ascii="Palatino Linotype" w:eastAsia="Times New Roman" w:hAnsi="Palatino Linotype" w:cs="Times New Roman"/>
          <w:sz w:val="20"/>
          <w:szCs w:val="20"/>
          <w:lang w:val="en-US"/>
        </w:rPr>
        <w:t>Setiawani</w:t>
      </w:r>
      <w:proofErr w:type="spellEnd"/>
      <w:r w:rsidRPr="00FF155D">
        <w:rPr>
          <w:rFonts w:ascii="Palatino Linotype" w:eastAsia="Times New Roman" w:hAnsi="Palatino Linotype" w:cs="Times New Roman"/>
          <w:sz w:val="20"/>
          <w:szCs w:val="20"/>
          <w:lang w:val="en-US"/>
        </w:rPr>
        <w:t xml:space="preserve"> (2016) identifies fluency, flexibility, and originality as main indicators of creative thinking. Originality refers to the uniqueness of the student’s solution method—one that originates from their own thinking, although it may still be used by others. In contrast, novelty is considered a key trait of creativity and refers to new ideas that have not been previously considered and differ conceptually from those of other students. The main aspects emphasized in this study are fluency, flexibility, originality, and elaboration, which are core components of creative thinking in mathematics (Kim et al., 2023).</w:t>
      </w:r>
    </w:p>
    <w:p w14:paraId="2D3192A2" w14:textId="77777777" w:rsidR="005B5AEC" w:rsidRPr="00723B12" w:rsidRDefault="005B5AEC" w:rsidP="005B5AEC">
      <w:pPr>
        <w:pStyle w:val="Alishlah21heading1"/>
        <w:rPr>
          <w:rFonts w:eastAsia="Arial"/>
        </w:rPr>
      </w:pPr>
      <w:r w:rsidRPr="00723B12">
        <w:rPr>
          <w:rFonts w:eastAsia="Arial"/>
        </w:rPr>
        <w:t xml:space="preserve">METHODS </w:t>
      </w:r>
    </w:p>
    <w:p w14:paraId="7ADC5D8E" w14:textId="77777777" w:rsidR="00FF155D" w:rsidRDefault="00FF155D" w:rsidP="00FF155D">
      <w:pPr>
        <w:pStyle w:val="Alishlah21heading1"/>
        <w:numPr>
          <w:ilvl w:val="0"/>
          <w:numId w:val="0"/>
        </w:numPr>
        <w:ind w:left="426"/>
        <w:rPr>
          <w:rFonts w:eastAsia="SimSun"/>
          <w:b w:val="0"/>
          <w:spacing w:val="-2"/>
          <w:lang w:val="en-ID"/>
        </w:rPr>
      </w:pPr>
      <w:r w:rsidRPr="00FF155D">
        <w:rPr>
          <w:rFonts w:eastAsia="SimSun"/>
          <w:b w:val="0"/>
          <w:spacing w:val="-2"/>
          <w:lang w:val="en-ID"/>
        </w:rPr>
        <w:t xml:space="preserve">This study is a qualitative research employing a case study approach. The research subjects were tenth-grade students of SMAS Kristen </w:t>
      </w:r>
      <w:proofErr w:type="spellStart"/>
      <w:r w:rsidRPr="00FF155D">
        <w:rPr>
          <w:rFonts w:eastAsia="SimSun"/>
          <w:b w:val="0"/>
          <w:spacing w:val="-2"/>
          <w:lang w:val="en-ID"/>
        </w:rPr>
        <w:t>Rantepao</w:t>
      </w:r>
      <w:proofErr w:type="spellEnd"/>
      <w:r w:rsidRPr="00FF155D">
        <w:rPr>
          <w:rFonts w:eastAsia="SimSun"/>
          <w:b w:val="0"/>
          <w:spacing w:val="-2"/>
          <w:lang w:val="en-ID"/>
        </w:rPr>
        <w:t xml:space="preserve"> who were categorized into three AQ levels: high, moderate, and low. One student was selected from each AQ category, resulting in a total of three subjects: AQT (high AQ), AQS (moderate AQ), and AQR (low AQ). All three subjects were given written geometry problems followed by semi-structured interviews. The instrument, an open-ended geometry task, was developed by the researcher. Prior to its use, the instrument was validated by three experts in the field of geometry. To ensure data validity, time triangulation was conducted. The validated data were then processed using the stages introduced by Miles and </w:t>
      </w:r>
      <w:proofErr w:type="spellStart"/>
      <w:r w:rsidRPr="00FF155D">
        <w:rPr>
          <w:rFonts w:eastAsia="SimSun"/>
          <w:b w:val="0"/>
          <w:spacing w:val="-2"/>
          <w:lang w:val="en-ID"/>
        </w:rPr>
        <w:t>Huberman</w:t>
      </w:r>
      <w:proofErr w:type="spellEnd"/>
      <w:r w:rsidRPr="00FF155D">
        <w:rPr>
          <w:rFonts w:eastAsia="SimSun"/>
          <w:b w:val="0"/>
          <w:spacing w:val="-2"/>
          <w:lang w:val="en-ID"/>
        </w:rPr>
        <w:t xml:space="preserve">, namely data reduction, data display, and conclusion drawing, after which the students’ creative thinking processes were </w:t>
      </w:r>
      <w:proofErr w:type="spellStart"/>
      <w:r w:rsidRPr="00FF155D">
        <w:rPr>
          <w:rFonts w:eastAsia="SimSun"/>
          <w:b w:val="0"/>
          <w:spacing w:val="-2"/>
          <w:lang w:val="en-ID"/>
        </w:rPr>
        <w:t>analyzed</w:t>
      </w:r>
      <w:proofErr w:type="spellEnd"/>
      <w:r w:rsidRPr="00FF155D">
        <w:rPr>
          <w:rFonts w:eastAsia="SimSun"/>
          <w:b w:val="0"/>
          <w:spacing w:val="-2"/>
          <w:lang w:val="en-ID"/>
        </w:rPr>
        <w:t>.</w:t>
      </w:r>
    </w:p>
    <w:p w14:paraId="7DAC3360" w14:textId="70CBC9E2" w:rsidR="005B5AEC" w:rsidRPr="00723B12" w:rsidRDefault="005B5AEC" w:rsidP="00FF155D">
      <w:pPr>
        <w:pStyle w:val="Alishlah21heading1"/>
        <w:rPr>
          <w:rFonts w:eastAsia="Arial"/>
        </w:rPr>
      </w:pPr>
      <w:r>
        <w:rPr>
          <w:rFonts w:eastAsia="Arial"/>
        </w:rPr>
        <w:t xml:space="preserve">FINDINGS </w:t>
      </w:r>
      <w:r w:rsidRPr="00723B12">
        <w:rPr>
          <w:rFonts w:eastAsia="Arial"/>
        </w:rPr>
        <w:t>AND DISCUSSION</w:t>
      </w:r>
    </w:p>
    <w:p w14:paraId="5CBE5366" w14:textId="71FFEB77" w:rsidR="002B31FD" w:rsidRPr="00FF155D" w:rsidRDefault="00FF155D" w:rsidP="00FF155D">
      <w:pPr>
        <w:pStyle w:val="Alishlah22heading2"/>
        <w:ind w:left="360" w:firstLine="65"/>
        <w:rPr>
          <w:b w:val="0"/>
          <w:bCs w:val="0"/>
          <w:i w:val="0"/>
          <w:iCs/>
        </w:rPr>
      </w:pPr>
      <w:r w:rsidRPr="00FF155D">
        <w:rPr>
          <w:b w:val="0"/>
          <w:i w:val="0"/>
        </w:rPr>
        <w:t>The results of the problem-solving tasks completed by the Climber (high AQ) subject (AQT), the Camper (moderate AQ) subject (AQS), and the Quitter (low AQ) subject (AQR) are presented in the following analysis.</w:t>
      </w:r>
      <w:r w:rsidR="00720AA1" w:rsidRPr="00FF155D">
        <w:rPr>
          <w:b w:val="0"/>
          <w:i w:val="0"/>
        </w:rPr>
        <w:t>3</w:t>
      </w:r>
      <w:r w:rsidR="002B31FD" w:rsidRPr="00FF155D">
        <w:rPr>
          <w:b w:val="0"/>
          <w:i w:val="0"/>
        </w:rPr>
        <w:t xml:space="preserve">.1. </w:t>
      </w:r>
      <w:r w:rsidR="00720AA1" w:rsidRPr="00FF155D">
        <w:rPr>
          <w:b w:val="0"/>
          <w:i w:val="0"/>
          <w:lang w:val="id-ID"/>
        </w:rPr>
        <w:t>Subjek Climber atau AQ Tinggi (AQT)</w:t>
      </w:r>
      <w:r w:rsidRPr="00FF155D">
        <w:rPr>
          <w:b w:val="0"/>
          <w:i w:val="0"/>
        </w:rPr>
        <w:t>.</w:t>
      </w:r>
    </w:p>
    <w:p w14:paraId="7FFFD957" w14:textId="5A35AF7C" w:rsidR="00720AA1" w:rsidRDefault="00FF155D" w:rsidP="00720AA1">
      <w:pPr>
        <w:pStyle w:val="Alishlah36textafterlist"/>
        <w:ind w:firstLine="0"/>
        <w:jc w:val="center"/>
        <w:rPr>
          <w:lang w:val="id-ID"/>
        </w:rPr>
      </w:pPr>
      <w:r>
        <w:t>AQT’s written responses to the two geometry problems given are shown in Figure 1 below.</w:t>
      </w:r>
      <w:r w:rsidR="00720AA1" w:rsidRPr="00720AA1">
        <w:rPr>
          <w:rFonts w:ascii="Times New Roman" w:hAnsi="Times New Roman"/>
          <w:noProof/>
          <w:snapToGrid/>
          <w:color w:val="auto"/>
          <w:szCs w:val="20"/>
          <w:lang w:eastAsia="en-US" w:bidi="ar-SA"/>
        </w:rPr>
        <w:drawing>
          <wp:inline distT="0" distB="0" distL="0" distR="0" wp14:anchorId="31DCA919" wp14:editId="5F878610">
            <wp:extent cx="5251881" cy="2175510"/>
            <wp:effectExtent l="19050" t="19050" r="25400" b="15240"/>
            <wp:docPr id="566513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13141" name=""/>
                    <pic:cNvPicPr/>
                  </pic:nvPicPr>
                  <pic:blipFill>
                    <a:blip r:embed="rId14"/>
                    <a:stretch>
                      <a:fillRect/>
                    </a:stretch>
                  </pic:blipFill>
                  <pic:spPr>
                    <a:xfrm>
                      <a:off x="0" y="0"/>
                      <a:ext cx="5306661" cy="2198202"/>
                    </a:xfrm>
                    <a:prstGeom prst="rect">
                      <a:avLst/>
                    </a:prstGeom>
                    <a:ln w="3175">
                      <a:solidFill>
                        <a:sysClr val="windowText" lastClr="000000"/>
                      </a:solidFill>
                    </a:ln>
                  </pic:spPr>
                </pic:pic>
              </a:graphicData>
            </a:graphic>
          </wp:inline>
        </w:drawing>
      </w:r>
    </w:p>
    <w:p w14:paraId="5B329881" w14:textId="77777777" w:rsidR="00FF155D" w:rsidRDefault="00FF155D" w:rsidP="00FF155D">
      <w:pPr>
        <w:pStyle w:val="Alishlah36textafterlist"/>
        <w:jc w:val="center"/>
      </w:pPr>
      <w:bookmarkStart w:id="2" w:name="_Hlk200496495"/>
      <w:proofErr w:type="gramStart"/>
      <w:r>
        <w:t>Figure 1.</w:t>
      </w:r>
      <w:proofErr w:type="gramEnd"/>
      <w:r>
        <w:t xml:space="preserve"> AQT’s Written Responses</w:t>
      </w:r>
    </w:p>
    <w:bookmarkEnd w:id="2"/>
    <w:p w14:paraId="7ACF6EDB"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Based on AQT’s written responses, an in-depth interview was conducted to confirm the answers. For Problem 2, the subject responded orally. The following is an excerpt of the interview between the researcher (P) and AQT.</w:t>
      </w:r>
    </w:p>
    <w:p w14:paraId="02DCB57C" w14:textId="61EA49C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What will you</w:t>
      </w:r>
      <w:r>
        <w:rPr>
          <w:rFonts w:ascii="Palatino Linotype" w:eastAsia="Times New Roman" w:hAnsi="Palatino Linotype" w:cs="Times New Roman"/>
          <w:sz w:val="20"/>
          <w:szCs w:val="20"/>
          <w:lang w:val="en-US"/>
        </w:rPr>
        <w:t xml:space="preserve"> do to solve the first problem?</w:t>
      </w:r>
      <w:r>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AQT:</w:t>
      </w:r>
      <w:r w:rsidRPr="00971BD0">
        <w:rPr>
          <w:rFonts w:ascii="Palatino Linotype" w:eastAsia="Times New Roman" w:hAnsi="Palatino Linotype" w:cs="Times New Roman"/>
          <w:sz w:val="20"/>
          <w:szCs w:val="20"/>
          <w:lang w:val="en-US"/>
        </w:rPr>
        <w:t xml:space="preserve"> I first look at the lengths of the three sides. Since none of the sides are equal, I immediately assume that it is a scalene triangle. But I still need to verify it using triangle concepts.</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What concept do you use to verify it?</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AQT:</w:t>
      </w:r>
      <w:r w:rsidRPr="00971BD0">
        <w:rPr>
          <w:rFonts w:ascii="Palatino Linotype" w:eastAsia="Times New Roman" w:hAnsi="Palatino Linotype" w:cs="Times New Roman"/>
          <w:sz w:val="20"/>
          <w:szCs w:val="20"/>
          <w:lang w:val="en-US"/>
        </w:rPr>
        <w:t xml:space="preserve"> I use the Pythagorean rule as an approach. I square all the sides: AB² = 25, BC² = </w:t>
      </w:r>
      <w:proofErr w:type="gramStart"/>
      <w:r w:rsidRPr="00971BD0">
        <w:rPr>
          <w:rFonts w:ascii="Palatino Linotype" w:eastAsia="Times New Roman" w:hAnsi="Palatino Linotype" w:cs="Times New Roman"/>
          <w:sz w:val="20"/>
          <w:szCs w:val="20"/>
          <w:lang w:val="en-US"/>
        </w:rPr>
        <w:t>49,</w:t>
      </w:r>
      <w:proofErr w:type="gramEnd"/>
      <w:r w:rsidRPr="00971BD0">
        <w:rPr>
          <w:rFonts w:ascii="Palatino Linotype" w:eastAsia="Times New Roman" w:hAnsi="Palatino Linotype" w:cs="Times New Roman"/>
          <w:sz w:val="20"/>
          <w:szCs w:val="20"/>
          <w:lang w:val="en-US"/>
        </w:rPr>
        <w:t xml:space="preserve"> and AC² = 64. I check whether the sum of the squares of any two sides equals the square of the third side. Since none of them match, it’s not a right triangle either. This is an acute triangle, because the square of the longest side is smaller than the sum of the squares of the other two sides.</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What will you do to solve the second problem?</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AQT:</w:t>
      </w:r>
      <w:r w:rsidRPr="00971BD0">
        <w:rPr>
          <w:rFonts w:ascii="Palatino Linotype" w:eastAsia="Times New Roman" w:hAnsi="Palatino Linotype" w:cs="Times New Roman"/>
          <w:sz w:val="20"/>
          <w:szCs w:val="20"/>
          <w:lang w:val="en-US"/>
        </w:rPr>
        <w:t xml:space="preserve"> I immediately remember that a triangle with sides 3 and 4 meters can form a right triangle. I apply the Pythagorean </w:t>
      </w:r>
      <w:proofErr w:type="gramStart"/>
      <w:r w:rsidRPr="00971BD0">
        <w:rPr>
          <w:rFonts w:ascii="Palatino Linotype" w:eastAsia="Times New Roman" w:hAnsi="Palatino Linotype" w:cs="Times New Roman"/>
          <w:sz w:val="20"/>
          <w:szCs w:val="20"/>
          <w:lang w:val="en-US"/>
        </w:rPr>
        <w:t>theorem</w:t>
      </w:r>
      <w:proofErr w:type="gramEnd"/>
      <w:r w:rsidRPr="00971BD0">
        <w:rPr>
          <w:rFonts w:ascii="Palatino Linotype" w:eastAsia="Times New Roman" w:hAnsi="Palatino Linotype" w:cs="Times New Roman"/>
          <w:sz w:val="20"/>
          <w:szCs w:val="20"/>
          <w:lang w:val="en-US"/>
        </w:rPr>
        <w:t>: 3² + 4² = 9 + 16 = 25, so the hypotenuse is 5 meters. That means this is a right triangle.</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Are you confident with your result?</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AQT:</w:t>
      </w:r>
      <w:r w:rsidRPr="00971BD0">
        <w:rPr>
          <w:rFonts w:ascii="Palatino Linotype" w:eastAsia="Times New Roman" w:hAnsi="Palatino Linotype" w:cs="Times New Roman"/>
          <w:sz w:val="20"/>
          <w:szCs w:val="20"/>
          <w:lang w:val="en-US"/>
        </w:rPr>
        <w:t xml:space="preserve"> Yes. Because the result is exact, and the numbers 3-4-5 are a Pythagorean triple, so it clearly forms a right triangle.</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Do you also visualize the triangle?</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AQT:</w:t>
      </w:r>
      <w:r w:rsidRPr="00971BD0">
        <w:rPr>
          <w:rFonts w:ascii="Palatino Linotype" w:eastAsia="Times New Roman" w:hAnsi="Palatino Linotype" w:cs="Times New Roman"/>
          <w:sz w:val="20"/>
          <w:szCs w:val="20"/>
          <w:lang w:val="en-US"/>
        </w:rPr>
        <w:t xml:space="preserve"> Yes, I imagine it like a staircase to a balcony. The height is 3 meters, the base is 4 meters, </w:t>
      </w:r>
      <w:proofErr w:type="gramStart"/>
      <w:r w:rsidRPr="00971BD0">
        <w:rPr>
          <w:rFonts w:ascii="Palatino Linotype" w:eastAsia="Times New Roman" w:hAnsi="Palatino Linotype" w:cs="Times New Roman"/>
          <w:sz w:val="20"/>
          <w:szCs w:val="20"/>
          <w:lang w:val="en-US"/>
        </w:rPr>
        <w:t>so</w:t>
      </w:r>
      <w:proofErr w:type="gramEnd"/>
      <w:r w:rsidRPr="00971BD0">
        <w:rPr>
          <w:rFonts w:ascii="Palatino Linotype" w:eastAsia="Times New Roman" w:hAnsi="Palatino Linotype" w:cs="Times New Roman"/>
          <w:sz w:val="20"/>
          <w:szCs w:val="20"/>
          <w:lang w:val="en-US"/>
        </w:rPr>
        <w:t xml:space="preserve"> the stairs must be slanted, forming a triangle. The right angle is at the base of the wall. That helps me understand it better.</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What would you do if you forgot the formula?</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AQT:</w:t>
      </w:r>
      <w:r w:rsidRPr="00971BD0">
        <w:rPr>
          <w:rFonts w:ascii="Palatino Linotype" w:eastAsia="Times New Roman" w:hAnsi="Palatino Linotype" w:cs="Times New Roman"/>
          <w:sz w:val="20"/>
          <w:szCs w:val="20"/>
          <w:lang w:val="en-US"/>
        </w:rPr>
        <w:t xml:space="preserve"> I would look for alternatives, such as drawing it first, then estimating the angles or measuring the sides using a ruler. But I would still try to use the formula I remember first.</w:t>
      </w:r>
    </w:p>
    <w:p w14:paraId="530B4E88" w14:textId="216B1A93"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 xml:space="preserve">Based on the interview with the high-AQ student, it is evident that the student demonstrated strong creative thinking processes in solving both geometry problems. In the first problem, involving the identification of a triangle type based on side lengths, the student did not rely solely on intuition but also showed conceptual understanding by comparing the squares of the sides to check for conformity with the Pythagorean </w:t>
      </w:r>
      <w:proofErr w:type="gramStart"/>
      <w:r w:rsidRPr="00971BD0">
        <w:rPr>
          <w:rFonts w:ascii="Palatino Linotype" w:eastAsia="Times New Roman" w:hAnsi="Palatino Linotype" w:cs="Times New Roman"/>
          <w:sz w:val="20"/>
          <w:szCs w:val="20"/>
          <w:lang w:val="en-US"/>
        </w:rPr>
        <w:t>theorem</w:t>
      </w:r>
      <w:proofErr w:type="gramEnd"/>
      <w:r w:rsidRPr="00971BD0">
        <w:rPr>
          <w:rFonts w:ascii="Palatino Linotype" w:eastAsia="Times New Roman" w:hAnsi="Palatino Linotype" w:cs="Times New Roman"/>
          <w:sz w:val="20"/>
          <w:szCs w:val="20"/>
          <w:lang w:val="en-US"/>
        </w:rPr>
        <w:t>. This strategy reflects fluency and flexibility—two key indicators of creative thinking proposed by Torrance (1974). The student also demonstrated elaboration through logical reasoning in classifying the triangle and through openness to alternative approaches, such as drawing or using coordinates if necessary.</w:t>
      </w:r>
      <w:r>
        <w:rPr>
          <w:rFonts w:ascii="Palatino Linotype" w:eastAsia="Times New Roman" w:hAnsi="Palatino Linotype" w:cs="Times New Roman"/>
          <w:sz w:val="20"/>
          <w:szCs w:val="20"/>
          <w:lang w:val="en-US"/>
        </w:rPr>
        <w:t xml:space="preserve"> </w:t>
      </w:r>
      <w:r w:rsidRPr="00971BD0">
        <w:rPr>
          <w:rFonts w:ascii="Palatino Linotype" w:eastAsia="Times New Roman" w:hAnsi="Palatino Linotype" w:cs="Times New Roman"/>
          <w:sz w:val="20"/>
          <w:szCs w:val="20"/>
          <w:lang w:val="en-US"/>
        </w:rPr>
        <w:t>In the contextual problem involving an emergency ladder, the student quickly recognized the presence of a Pythagorean triple (3-4-5) and used this to identify the right triangle. He also connected his understanding to a real-world visualization by imagining the placement of the ladder, the ground, and the balcony, which illustrates the ability to integrate geometric concepts with real-life contexts—an essential skill in contextual mathematics learning (Silver, 1997). This strategy shows that the student is able to think flexibly and demonstrates originality by applying factual knowledge (Pythagorean triples) in a practical situation.</w:t>
      </w:r>
    </w:p>
    <w:p w14:paraId="73D089D3"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 xml:space="preserve">These abilities reflect the characteristics of a high-AQ student, who tends to stay focused, seek solutions from multiple perspectives, and persist when faced with challenges. </w:t>
      </w:r>
      <w:proofErr w:type="spellStart"/>
      <w:r w:rsidRPr="00971BD0">
        <w:rPr>
          <w:rFonts w:ascii="Palatino Linotype" w:eastAsia="Times New Roman" w:hAnsi="Palatino Linotype" w:cs="Times New Roman"/>
          <w:sz w:val="20"/>
          <w:szCs w:val="20"/>
          <w:lang w:val="en-US"/>
        </w:rPr>
        <w:t>Stoltz</w:t>
      </w:r>
      <w:proofErr w:type="spellEnd"/>
      <w:r w:rsidRPr="00971BD0">
        <w:rPr>
          <w:rFonts w:ascii="Palatino Linotype" w:eastAsia="Times New Roman" w:hAnsi="Palatino Linotype" w:cs="Times New Roman"/>
          <w:sz w:val="20"/>
          <w:szCs w:val="20"/>
          <w:lang w:val="en-US"/>
        </w:rPr>
        <w:t xml:space="preserve"> (1997) describes individuals with high AQ as viewing difficulties as challenges to be overcome rather than obstacles to avoid. In this case, the student demonstrated persistence and self-reflection when encountering uncertainty, such as verifying triangle types or considering alternative strategies if formulas were forgotten. This aligns with the findings of </w:t>
      </w:r>
      <w:proofErr w:type="spellStart"/>
      <w:r w:rsidRPr="00971BD0">
        <w:rPr>
          <w:rFonts w:ascii="Palatino Linotype" w:eastAsia="Times New Roman" w:hAnsi="Palatino Linotype" w:cs="Times New Roman"/>
          <w:sz w:val="20"/>
          <w:szCs w:val="20"/>
          <w:lang w:val="en-US"/>
        </w:rPr>
        <w:t>Saputri</w:t>
      </w:r>
      <w:proofErr w:type="spellEnd"/>
      <w:r w:rsidRPr="00971BD0">
        <w:rPr>
          <w:rFonts w:ascii="Palatino Linotype" w:eastAsia="Times New Roman" w:hAnsi="Palatino Linotype" w:cs="Times New Roman"/>
          <w:sz w:val="20"/>
          <w:szCs w:val="20"/>
          <w:lang w:val="en-US"/>
        </w:rPr>
        <w:t xml:space="preserve"> et al. (2020), which indicate that students with high AQ exhibit stronger creative thinking strategies and are more likely to complete problem-solving tasks compared to students with moderate or low AQ.</w:t>
      </w:r>
    </w:p>
    <w:p w14:paraId="22445C5D"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Thus, it can be concluded that a high AQ has a positive contribution to the quality of creative thinking processes in solving geometry problems, both in purely mathematical and real-life contexts. The combination of mental resilience and flexible thinking forms an essential foundation for developing higher-order thinking skills in mathematics learning.</w:t>
      </w:r>
    </w:p>
    <w:p w14:paraId="5C903522" w14:textId="50947C56" w:rsidR="00971BD0" w:rsidRPr="00971BD0" w:rsidRDefault="0094243B" w:rsidP="00971BD0">
      <w:pPr>
        <w:pStyle w:val="Alishlah22heading2"/>
        <w:rPr>
          <w:rFonts w:ascii="Times New Roman" w:eastAsia="Times New Roman" w:hAnsi="Times New Roman"/>
          <w:sz w:val="24"/>
          <w:szCs w:val="24"/>
        </w:rPr>
      </w:pPr>
      <w:r>
        <w:t>3</w:t>
      </w:r>
      <w:r w:rsidR="002B31FD" w:rsidRPr="004841C5">
        <w:t xml:space="preserve">.2. </w:t>
      </w:r>
      <w:r w:rsidR="00971BD0" w:rsidRPr="00971BD0">
        <w:rPr>
          <w:rFonts w:eastAsia="Times New Roman"/>
          <w:b w:val="0"/>
          <w:i w:val="0"/>
          <w:szCs w:val="20"/>
        </w:rPr>
        <w:t>Camper (Moderate AQ) Subject (AQS)</w:t>
      </w:r>
      <w:r w:rsidR="00971BD0" w:rsidRPr="00971BD0">
        <w:rPr>
          <w:rFonts w:eastAsia="Times New Roman"/>
          <w:b w:val="0"/>
          <w:i w:val="0"/>
          <w:szCs w:val="20"/>
        </w:rPr>
        <w:br/>
        <w:t>AQS’s written responses to the two geometry problems given are shown in Figure 1 below.</w:t>
      </w:r>
    </w:p>
    <w:p w14:paraId="42672EA3" w14:textId="77777777" w:rsidR="00971BD0" w:rsidRPr="00971BD0" w:rsidRDefault="00971BD0" w:rsidP="002B31FD">
      <w:pPr>
        <w:pStyle w:val="Alishlah33textspaceafter"/>
      </w:pPr>
    </w:p>
    <w:p w14:paraId="7BC9FE01" w14:textId="591815EA" w:rsidR="0094243B" w:rsidRDefault="0094243B" w:rsidP="0094243B">
      <w:pPr>
        <w:pStyle w:val="Alishlah33textspaceafter"/>
        <w:jc w:val="center"/>
      </w:pPr>
      <w:r w:rsidRPr="0094243B">
        <w:rPr>
          <w:rFonts w:ascii="Times New Roman" w:hAnsi="Times New Roman"/>
          <w:noProof/>
          <w:snapToGrid/>
          <w:color w:val="auto"/>
          <w:szCs w:val="20"/>
          <w:lang w:eastAsia="en-US" w:bidi="ar-SA"/>
        </w:rPr>
        <w:drawing>
          <wp:inline distT="0" distB="0" distL="0" distR="0" wp14:anchorId="0C0DA780" wp14:editId="24C8D6F6">
            <wp:extent cx="5045075" cy="1387719"/>
            <wp:effectExtent l="19050" t="19050" r="22225" b="22225"/>
            <wp:docPr id="635352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352644" name=""/>
                    <pic:cNvPicPr/>
                  </pic:nvPicPr>
                  <pic:blipFill>
                    <a:blip r:embed="rId15"/>
                    <a:stretch>
                      <a:fillRect/>
                    </a:stretch>
                  </pic:blipFill>
                  <pic:spPr>
                    <a:xfrm>
                      <a:off x="0" y="0"/>
                      <a:ext cx="5063314" cy="1392736"/>
                    </a:xfrm>
                    <a:prstGeom prst="rect">
                      <a:avLst/>
                    </a:prstGeom>
                    <a:ln w="3175">
                      <a:solidFill>
                        <a:sysClr val="windowText" lastClr="000000"/>
                      </a:solidFill>
                    </a:ln>
                  </pic:spPr>
                </pic:pic>
              </a:graphicData>
            </a:graphic>
          </wp:inline>
        </w:drawing>
      </w:r>
    </w:p>
    <w:p w14:paraId="29987C32" w14:textId="77777777" w:rsidR="00971BD0" w:rsidRDefault="00971BD0" w:rsidP="00971BD0">
      <w:pPr>
        <w:pStyle w:val="Alishlah33textspaceafter"/>
        <w:jc w:val="center"/>
      </w:pPr>
      <w:proofErr w:type="gramStart"/>
      <w:r>
        <w:t>Figure 2.</w:t>
      </w:r>
      <w:proofErr w:type="gramEnd"/>
      <w:r>
        <w:t xml:space="preserve"> AQS’s Written Responses</w:t>
      </w:r>
    </w:p>
    <w:p w14:paraId="211AB36A"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Based on AQS’s written responses, an in-depth interview was conducted to confirm the answers. For Problem 2, the subject responded orally. The following is an excerpt from the interview between the researcher (P) and AQS.</w:t>
      </w:r>
    </w:p>
    <w:p w14:paraId="1861BDBB"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Why didn’t you draw the triangle described in Problem 1?</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AQS:</w:t>
      </w:r>
      <w:r w:rsidRPr="00971BD0">
        <w:rPr>
          <w:rFonts w:ascii="Palatino Linotype" w:eastAsia="Times New Roman" w:hAnsi="Palatino Linotype" w:cs="Times New Roman"/>
          <w:sz w:val="20"/>
          <w:szCs w:val="20"/>
          <w:lang w:val="en-US"/>
        </w:rPr>
        <w:t xml:space="preserve"> I saw that all the sides were different, so I thought it was a scalene triangle even without drawing it.</w:t>
      </w:r>
    </w:p>
    <w:p w14:paraId="78B868B3"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Did you verify it using any formula?</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AQS:</w:t>
      </w:r>
      <w:r w:rsidRPr="00971BD0">
        <w:rPr>
          <w:rFonts w:ascii="Palatino Linotype" w:eastAsia="Times New Roman" w:hAnsi="Palatino Linotype" w:cs="Times New Roman"/>
          <w:sz w:val="20"/>
          <w:szCs w:val="20"/>
          <w:lang w:val="en-US"/>
        </w:rPr>
        <w:t xml:space="preserve"> I wasn’t sure which formula to use. But since none of the sides are equal, I felt that was enough to identify the type.</w:t>
      </w:r>
    </w:p>
    <w:p w14:paraId="55959CF4"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Did you try to check whether the triangle is a right triangle?</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AQS:</w:t>
      </w:r>
      <w:r w:rsidRPr="00971BD0">
        <w:rPr>
          <w:rFonts w:ascii="Palatino Linotype" w:eastAsia="Times New Roman" w:hAnsi="Palatino Linotype" w:cs="Times New Roman"/>
          <w:sz w:val="20"/>
          <w:szCs w:val="20"/>
          <w:lang w:val="en-US"/>
        </w:rPr>
        <w:t xml:space="preserve"> I didn’t think of that. But I guess it's not, because the numbers don’t match like the 3-4-5 triangle.</w:t>
      </w:r>
    </w:p>
    <w:p w14:paraId="67B31521"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When you feel confused, what do you usually do?</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AQS:</w:t>
      </w:r>
      <w:r w:rsidRPr="00971BD0">
        <w:rPr>
          <w:rFonts w:ascii="Palatino Linotype" w:eastAsia="Times New Roman" w:hAnsi="Palatino Linotype" w:cs="Times New Roman"/>
          <w:sz w:val="20"/>
          <w:szCs w:val="20"/>
          <w:lang w:val="en-US"/>
        </w:rPr>
        <w:t xml:space="preserve"> If I’m confused, I usually ask my friends. But in an exam, I pick the answer that makes the most sense, even if I’m not sure.</w:t>
      </w:r>
    </w:p>
    <w:p w14:paraId="5C3E80AF"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How about Problem 2?</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AQS:</w:t>
      </w:r>
      <w:r w:rsidRPr="00971BD0">
        <w:rPr>
          <w:rFonts w:ascii="Palatino Linotype" w:eastAsia="Times New Roman" w:hAnsi="Palatino Linotype" w:cs="Times New Roman"/>
          <w:sz w:val="20"/>
          <w:szCs w:val="20"/>
          <w:lang w:val="en-US"/>
        </w:rPr>
        <w:t xml:space="preserve"> I think it’s a right triangle because I remember my teacher once said that 3, 4, 5 is like an example of a triangle.</w:t>
      </w:r>
    </w:p>
    <w:p w14:paraId="64DB906A"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Are you confident with your answer?</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AQS:</w:t>
      </w:r>
      <w:r w:rsidRPr="00971BD0">
        <w:rPr>
          <w:rFonts w:ascii="Palatino Linotype" w:eastAsia="Times New Roman" w:hAnsi="Palatino Linotype" w:cs="Times New Roman"/>
          <w:sz w:val="20"/>
          <w:szCs w:val="20"/>
          <w:lang w:val="en-US"/>
        </w:rPr>
        <w:t xml:space="preserve"> Pretty sure, but I don’t really know why. I just remember that example.</w:t>
      </w:r>
    </w:p>
    <w:p w14:paraId="5640205A"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If you are unsure, what do you usually do?</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AQS:</w:t>
      </w:r>
      <w:r w:rsidRPr="00971BD0">
        <w:rPr>
          <w:rFonts w:ascii="Palatino Linotype" w:eastAsia="Times New Roman" w:hAnsi="Palatino Linotype" w:cs="Times New Roman"/>
          <w:sz w:val="20"/>
          <w:szCs w:val="20"/>
          <w:lang w:val="en-US"/>
        </w:rPr>
        <w:t xml:space="preserve"> Sometimes I move on to another question first. I come back to it if there’s time. If I’m really stuck, I just guess.</w:t>
      </w:r>
    </w:p>
    <w:p w14:paraId="75260179"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Based on the interview results, the student in the moderate AQ category demonstrated limited creative thinking skills in solving the geometry problems. In the first problem, the student identified the triangle as scalene because all sides were of different lengths; however, the student did not explore further to verify the triangle type using alternative approaches, such as checking for right-triangle properties. This indicates a tendency to rely on a single, straightforward strategy without developing alternative solutions. The student also did not attempt to provide explanations using deeper conceptual reasoning or justification, indicating low elaboration and flexibility in thinking.</w:t>
      </w:r>
    </w:p>
    <w:p w14:paraId="4E13648F"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 xml:space="preserve">In the contextual second problem, the student relied only on memory of the number pattern (3, 4, </w:t>
      </w:r>
      <w:proofErr w:type="gramStart"/>
      <w:r w:rsidRPr="00971BD0">
        <w:rPr>
          <w:rFonts w:ascii="Palatino Linotype" w:eastAsia="Times New Roman" w:hAnsi="Palatino Linotype" w:cs="Times New Roman"/>
          <w:sz w:val="20"/>
          <w:szCs w:val="20"/>
          <w:lang w:val="en-US"/>
        </w:rPr>
        <w:t>5</w:t>
      </w:r>
      <w:proofErr w:type="gramEnd"/>
      <w:r w:rsidRPr="00971BD0">
        <w:rPr>
          <w:rFonts w:ascii="Palatino Linotype" w:eastAsia="Times New Roman" w:hAnsi="Palatino Linotype" w:cs="Times New Roman"/>
          <w:sz w:val="20"/>
          <w:szCs w:val="20"/>
          <w:lang w:val="en-US"/>
        </w:rPr>
        <w:t>) as an example of a triangle, without fully understanding why these numbers form a right triangle. This suggests that although the student could recognize a pattern, he lacked the mental resilience and motivation to explore the concept more deeply.</w:t>
      </w:r>
    </w:p>
    <w:p w14:paraId="5905A77A"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 xml:space="preserve">These characteristics align with the findings of </w:t>
      </w:r>
      <w:proofErr w:type="spellStart"/>
      <w:r w:rsidRPr="00971BD0">
        <w:rPr>
          <w:rFonts w:ascii="Palatino Linotype" w:eastAsia="Times New Roman" w:hAnsi="Palatino Linotype" w:cs="Times New Roman"/>
          <w:sz w:val="20"/>
          <w:szCs w:val="20"/>
          <w:lang w:val="en-US"/>
        </w:rPr>
        <w:t>Iswari</w:t>
      </w:r>
      <w:proofErr w:type="spellEnd"/>
      <w:r w:rsidRPr="00971BD0">
        <w:rPr>
          <w:rFonts w:ascii="Palatino Linotype" w:eastAsia="Times New Roman" w:hAnsi="Palatino Linotype" w:cs="Times New Roman"/>
          <w:sz w:val="20"/>
          <w:szCs w:val="20"/>
          <w:lang w:val="en-US"/>
        </w:rPr>
        <w:t xml:space="preserve"> et al. (2021), which show that students with moderate AQ tend to complete tasks based on memory and are less willing to explore or try different approaches when faced with difficulties. They take a middle-ground approach—not giving up quickly, yet not exhibiting strong persistence like high-AQ students. This is supported by </w:t>
      </w:r>
      <w:proofErr w:type="spellStart"/>
      <w:r w:rsidRPr="00971BD0">
        <w:rPr>
          <w:rFonts w:ascii="Palatino Linotype" w:eastAsia="Times New Roman" w:hAnsi="Palatino Linotype" w:cs="Times New Roman"/>
          <w:sz w:val="20"/>
          <w:szCs w:val="20"/>
          <w:lang w:val="en-US"/>
        </w:rPr>
        <w:t>Rochmiyati</w:t>
      </w:r>
      <w:proofErr w:type="spellEnd"/>
      <w:r w:rsidRPr="00971BD0">
        <w:rPr>
          <w:rFonts w:ascii="Palatino Linotype" w:eastAsia="Times New Roman" w:hAnsi="Palatino Linotype" w:cs="Times New Roman"/>
          <w:sz w:val="20"/>
          <w:szCs w:val="20"/>
          <w:lang w:val="en-US"/>
        </w:rPr>
        <w:t xml:space="preserve"> and </w:t>
      </w:r>
      <w:proofErr w:type="spellStart"/>
      <w:r w:rsidRPr="00971BD0">
        <w:rPr>
          <w:rFonts w:ascii="Palatino Linotype" w:eastAsia="Times New Roman" w:hAnsi="Palatino Linotype" w:cs="Times New Roman"/>
          <w:sz w:val="20"/>
          <w:szCs w:val="20"/>
          <w:lang w:val="en-US"/>
        </w:rPr>
        <w:t>Widodo</w:t>
      </w:r>
      <w:proofErr w:type="spellEnd"/>
      <w:r w:rsidRPr="00971BD0">
        <w:rPr>
          <w:rFonts w:ascii="Palatino Linotype" w:eastAsia="Times New Roman" w:hAnsi="Palatino Linotype" w:cs="Times New Roman"/>
          <w:sz w:val="20"/>
          <w:szCs w:val="20"/>
          <w:lang w:val="en-US"/>
        </w:rPr>
        <w:t xml:space="preserve"> (2020), who state that students with moderate AQ tend to remain in their comfort zone, avoid challenges, and show limited reflection when solving non-routine mathematics problems. According to Putra &amp; </w:t>
      </w:r>
      <w:proofErr w:type="spellStart"/>
      <w:r w:rsidRPr="00971BD0">
        <w:rPr>
          <w:rFonts w:ascii="Palatino Linotype" w:eastAsia="Times New Roman" w:hAnsi="Palatino Linotype" w:cs="Times New Roman"/>
          <w:sz w:val="20"/>
          <w:szCs w:val="20"/>
          <w:lang w:val="en-US"/>
        </w:rPr>
        <w:t>Jailani</w:t>
      </w:r>
      <w:proofErr w:type="spellEnd"/>
      <w:r w:rsidRPr="00971BD0">
        <w:rPr>
          <w:rFonts w:ascii="Palatino Linotype" w:eastAsia="Times New Roman" w:hAnsi="Palatino Linotype" w:cs="Times New Roman"/>
          <w:sz w:val="20"/>
          <w:szCs w:val="20"/>
          <w:lang w:val="en-US"/>
        </w:rPr>
        <w:t xml:space="preserve"> (2020), moderate-AQ students have moderate levels of resilience: they can solve problems but easily lose direction or become passive when confronted with higher cognitive demands. As a result, their creative thinking ability appears only at a basic level—such as recognizing simple patterns—but does not progress toward elaboration or originality.</w:t>
      </w:r>
    </w:p>
    <w:p w14:paraId="48F6D1E1"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Thus, students with moderate AQ tend to solve problems using conventional approaches and have not yet fully utilized their creative thinking potential. Low metacognitive engagement and reluctance to take risks are major obstacles to developing creative thinking, especially in solving mathematical problems that require deep conceptual understanding and flexible reasoning.</w:t>
      </w:r>
    </w:p>
    <w:p w14:paraId="135C09B7" w14:textId="77777777" w:rsidR="00971BD0" w:rsidRDefault="008952C2" w:rsidP="00971BD0">
      <w:pPr>
        <w:pStyle w:val="Alishlah22heading2"/>
        <w:rPr>
          <w:rFonts w:ascii="Times New Roman" w:eastAsia="Times New Roman" w:hAnsi="Times New Roman"/>
          <w:sz w:val="24"/>
          <w:szCs w:val="24"/>
        </w:rPr>
      </w:pPr>
      <w:r>
        <w:t>3</w:t>
      </w:r>
      <w:r w:rsidR="002B31FD" w:rsidRPr="004841C5">
        <w:t xml:space="preserve">.3. </w:t>
      </w:r>
      <w:r w:rsidR="00971BD0" w:rsidRPr="00971BD0">
        <w:rPr>
          <w:rFonts w:ascii="Times New Roman" w:eastAsia="Times New Roman" w:hAnsi="Times New Roman"/>
          <w:sz w:val="24"/>
          <w:szCs w:val="24"/>
        </w:rPr>
        <w:t>Quitter (Low AQ) Subject (AQR)</w:t>
      </w:r>
    </w:p>
    <w:p w14:paraId="28E3E690" w14:textId="4CED8014" w:rsidR="00971BD0" w:rsidRPr="00971BD0" w:rsidRDefault="00971BD0" w:rsidP="00971BD0">
      <w:pPr>
        <w:pStyle w:val="Alishlah22heading2"/>
        <w:ind w:firstLine="720"/>
        <w:jc w:val="both"/>
        <w:rPr>
          <w:b w:val="0"/>
          <w:i w:val="0"/>
          <w:szCs w:val="20"/>
        </w:rPr>
      </w:pPr>
      <w:r w:rsidRPr="00971BD0">
        <w:rPr>
          <w:rFonts w:eastAsia="Times New Roman"/>
          <w:b w:val="0"/>
          <w:i w:val="0"/>
          <w:szCs w:val="20"/>
        </w:rPr>
        <w:t>AQR was unable to answer the problems in written form, so an in-depth interview was conducted. An excerpt of the interview with AQR is presented below.</w:t>
      </w:r>
    </w:p>
    <w:p w14:paraId="4A10E1DA"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You have read Problem 1. What is the first step you took?</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AQR:</w:t>
      </w:r>
      <w:r w:rsidRPr="00971BD0">
        <w:rPr>
          <w:rFonts w:ascii="Palatino Linotype" w:eastAsia="Times New Roman" w:hAnsi="Palatino Linotype" w:cs="Times New Roman"/>
          <w:sz w:val="20"/>
          <w:szCs w:val="20"/>
          <w:lang w:val="en-US"/>
        </w:rPr>
        <w:t xml:space="preserve"> I was confused about where to start. I don’t know how to determine the type of triangle from its side lengths.</w:t>
      </w:r>
    </w:p>
    <w:p w14:paraId="04B5433D"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When you look at the numbers, do you have any idea what type of triangle it might be?</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AQR:</w:t>
      </w:r>
      <w:r w:rsidRPr="00971BD0">
        <w:rPr>
          <w:rFonts w:ascii="Palatino Linotype" w:eastAsia="Times New Roman" w:hAnsi="Palatino Linotype" w:cs="Times New Roman"/>
          <w:sz w:val="20"/>
          <w:szCs w:val="20"/>
          <w:lang w:val="en-US"/>
        </w:rPr>
        <w:t xml:space="preserve"> I don’t know, because I forgot the formula. If the sides are all different, what kind of triangle is that?</w:t>
      </w:r>
    </w:p>
    <w:p w14:paraId="38E122DF"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Did you try comparing the side lengths or using any concept?</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AQR:</w:t>
      </w:r>
      <w:r w:rsidRPr="00971BD0">
        <w:rPr>
          <w:rFonts w:ascii="Palatino Linotype" w:eastAsia="Times New Roman" w:hAnsi="Palatino Linotype" w:cs="Times New Roman"/>
          <w:sz w:val="20"/>
          <w:szCs w:val="20"/>
          <w:lang w:val="en-US"/>
        </w:rPr>
        <w:t xml:space="preserve"> No. I just guessed that it might be a scalene triangle. But I’m not sure.</w:t>
      </w:r>
    </w:p>
    <w:p w14:paraId="3003A931"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When you feel confused or uncertain, what do you usually do?</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AQR:</w:t>
      </w:r>
      <w:r w:rsidRPr="00971BD0">
        <w:rPr>
          <w:rFonts w:ascii="Palatino Linotype" w:eastAsia="Times New Roman" w:hAnsi="Palatino Linotype" w:cs="Times New Roman"/>
          <w:sz w:val="20"/>
          <w:szCs w:val="20"/>
          <w:lang w:val="en-US"/>
        </w:rPr>
        <w:t xml:space="preserve"> I usually skip it first. If I still can’t do it, I leave it blank.</w:t>
      </w:r>
    </w:p>
    <w:p w14:paraId="177E9106"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How about Problem 2?</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AQR:</w:t>
      </w:r>
      <w:r w:rsidRPr="00971BD0">
        <w:rPr>
          <w:rFonts w:ascii="Palatino Linotype" w:eastAsia="Times New Roman" w:hAnsi="Palatino Linotype" w:cs="Times New Roman"/>
          <w:sz w:val="20"/>
          <w:szCs w:val="20"/>
          <w:lang w:val="en-US"/>
        </w:rPr>
        <w:t xml:space="preserve"> I don’t understand what it’s asking. Should I use a picture or a formula?</w:t>
      </w:r>
    </w:p>
    <w:p w14:paraId="6D8E4CF2"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Can you visualize the triangle in your mind?</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AQR:</w:t>
      </w:r>
      <w:r w:rsidRPr="00971BD0">
        <w:rPr>
          <w:rFonts w:ascii="Palatino Linotype" w:eastAsia="Times New Roman" w:hAnsi="Palatino Linotype" w:cs="Times New Roman"/>
          <w:sz w:val="20"/>
          <w:szCs w:val="20"/>
          <w:lang w:val="en-US"/>
        </w:rPr>
        <w:t xml:space="preserve"> I find it hard to imagine. It’s confusing—there’s a building, a ladder, and numbers all mixed together.</w:t>
      </w:r>
    </w:p>
    <w:p w14:paraId="072AE1D8" w14:textId="77777777" w:rsidR="00971BD0" w:rsidRPr="00971BD0" w:rsidRDefault="00971BD0" w:rsidP="00971BD0">
      <w:pPr>
        <w:spacing w:before="100" w:beforeAutospacing="1" w:after="100" w:afterAutospacing="1" w:line="240" w:lineRule="auto"/>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b/>
          <w:bCs/>
          <w:sz w:val="20"/>
          <w:szCs w:val="20"/>
          <w:lang w:val="en-US"/>
        </w:rPr>
        <w:t>P:</w:t>
      </w:r>
      <w:r w:rsidRPr="00971BD0">
        <w:rPr>
          <w:rFonts w:ascii="Palatino Linotype" w:eastAsia="Times New Roman" w:hAnsi="Palatino Linotype" w:cs="Times New Roman"/>
          <w:sz w:val="20"/>
          <w:szCs w:val="20"/>
          <w:lang w:val="en-US"/>
        </w:rPr>
        <w:t xml:space="preserve"> When you feel confused like this, do you still try to solve the problem?</w:t>
      </w:r>
      <w:r w:rsidRPr="00971BD0">
        <w:rPr>
          <w:rFonts w:ascii="Palatino Linotype" w:eastAsia="Times New Roman" w:hAnsi="Palatino Linotype" w:cs="Times New Roman"/>
          <w:sz w:val="20"/>
          <w:szCs w:val="20"/>
          <w:lang w:val="en-US"/>
        </w:rPr>
        <w:br/>
      </w:r>
      <w:r w:rsidRPr="00971BD0">
        <w:rPr>
          <w:rFonts w:ascii="Palatino Linotype" w:eastAsia="Times New Roman" w:hAnsi="Palatino Linotype" w:cs="Times New Roman"/>
          <w:b/>
          <w:bCs/>
          <w:sz w:val="20"/>
          <w:szCs w:val="20"/>
          <w:lang w:val="en-US"/>
        </w:rPr>
        <w:t>AQR:</w:t>
      </w:r>
      <w:r w:rsidRPr="00971BD0">
        <w:rPr>
          <w:rFonts w:ascii="Palatino Linotype" w:eastAsia="Times New Roman" w:hAnsi="Palatino Linotype" w:cs="Times New Roman"/>
          <w:sz w:val="20"/>
          <w:szCs w:val="20"/>
          <w:lang w:val="en-US"/>
        </w:rPr>
        <w:t xml:space="preserve"> Usually no. For problems like this, I often give up. I don’t know where to start.</w:t>
      </w:r>
    </w:p>
    <w:p w14:paraId="1326CD99"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Based on the interview, the student in the low Adversity Quotient (AQ) category showed a tendency to avoid challenges and lacked mental resilience in solving both conceptual and contextual geometry problems. In the first problem, the student showed no initiative to apply basic geometry concepts, such as comparing side lengths or recalling triangle classifications. He immediately expressed confusion and uncertainty without attempting further reasoning or exploration. The same pattern appeared in the second contextual problem, where the student stated that he could not visualize the triangle from the real-life scenario and preferred to give up rather than attempt a solution. This passive attitude is a dominant indicator of low AQ—characterized by giving up quickly when faced with challenging or unfamiliar problems.</w:t>
      </w:r>
    </w:p>
    <w:p w14:paraId="52AA2DEA" w14:textId="77777777" w:rsidR="00971BD0" w:rsidRPr="00971BD0" w:rsidRDefault="00971BD0" w:rsidP="00971BD0">
      <w:pPr>
        <w:spacing w:before="100" w:beforeAutospacing="1" w:after="100" w:afterAutospacing="1" w:line="240" w:lineRule="auto"/>
        <w:jc w:val="both"/>
        <w:rPr>
          <w:rFonts w:ascii="Palatino Linotype" w:eastAsia="Times New Roman" w:hAnsi="Palatino Linotype" w:cs="Times New Roman"/>
          <w:sz w:val="20"/>
          <w:szCs w:val="20"/>
          <w:lang w:val="en-US"/>
        </w:rPr>
      </w:pPr>
      <w:r w:rsidRPr="00971BD0">
        <w:rPr>
          <w:rFonts w:ascii="Palatino Linotype" w:eastAsia="Times New Roman" w:hAnsi="Palatino Linotype" w:cs="Times New Roman"/>
          <w:sz w:val="20"/>
          <w:szCs w:val="20"/>
          <w:lang w:val="en-US"/>
        </w:rPr>
        <w:t xml:space="preserve">These findings are consistent with </w:t>
      </w:r>
      <w:proofErr w:type="spellStart"/>
      <w:r w:rsidRPr="00971BD0">
        <w:rPr>
          <w:rFonts w:ascii="Palatino Linotype" w:eastAsia="Times New Roman" w:hAnsi="Palatino Linotype" w:cs="Times New Roman"/>
          <w:sz w:val="20"/>
          <w:szCs w:val="20"/>
          <w:lang w:val="en-US"/>
        </w:rPr>
        <w:t>Sulistyowati</w:t>
      </w:r>
      <w:proofErr w:type="spellEnd"/>
      <w:r w:rsidRPr="00971BD0">
        <w:rPr>
          <w:rFonts w:ascii="Palatino Linotype" w:eastAsia="Times New Roman" w:hAnsi="Palatino Linotype" w:cs="Times New Roman"/>
          <w:sz w:val="20"/>
          <w:szCs w:val="20"/>
          <w:lang w:val="en-US"/>
        </w:rPr>
        <w:t xml:space="preserve"> &amp; </w:t>
      </w:r>
      <w:proofErr w:type="spellStart"/>
      <w:r w:rsidRPr="00971BD0">
        <w:rPr>
          <w:rFonts w:ascii="Palatino Linotype" w:eastAsia="Times New Roman" w:hAnsi="Palatino Linotype" w:cs="Times New Roman"/>
          <w:sz w:val="20"/>
          <w:szCs w:val="20"/>
          <w:lang w:val="en-US"/>
        </w:rPr>
        <w:t>Sujadi</w:t>
      </w:r>
      <w:proofErr w:type="spellEnd"/>
      <w:r w:rsidRPr="00971BD0">
        <w:rPr>
          <w:rFonts w:ascii="Palatino Linotype" w:eastAsia="Times New Roman" w:hAnsi="Palatino Linotype" w:cs="Times New Roman"/>
          <w:sz w:val="20"/>
          <w:szCs w:val="20"/>
          <w:lang w:val="en-US"/>
        </w:rPr>
        <w:t xml:space="preserve"> (2021), who found that students with low AQ tend to exhibit stagnant thinking patterns, difficulty processing problem information, and reluctance to try alternative strategies, resulting in underdeveloped creative thinking. This is also supported by </w:t>
      </w:r>
      <w:proofErr w:type="spellStart"/>
      <w:r w:rsidRPr="00971BD0">
        <w:rPr>
          <w:rFonts w:ascii="Palatino Linotype" w:eastAsia="Times New Roman" w:hAnsi="Palatino Linotype" w:cs="Times New Roman"/>
          <w:sz w:val="20"/>
          <w:szCs w:val="20"/>
          <w:lang w:val="en-US"/>
        </w:rPr>
        <w:t>Rachmadyanti</w:t>
      </w:r>
      <w:proofErr w:type="spellEnd"/>
      <w:r w:rsidRPr="00971BD0">
        <w:rPr>
          <w:rFonts w:ascii="Palatino Linotype" w:eastAsia="Times New Roman" w:hAnsi="Palatino Linotype" w:cs="Times New Roman"/>
          <w:sz w:val="20"/>
          <w:szCs w:val="20"/>
          <w:lang w:val="en-US"/>
        </w:rPr>
        <w:t xml:space="preserve"> and </w:t>
      </w:r>
      <w:proofErr w:type="spellStart"/>
      <w:r w:rsidRPr="00971BD0">
        <w:rPr>
          <w:rFonts w:ascii="Palatino Linotype" w:eastAsia="Times New Roman" w:hAnsi="Palatino Linotype" w:cs="Times New Roman"/>
          <w:sz w:val="20"/>
          <w:szCs w:val="20"/>
          <w:lang w:val="en-US"/>
        </w:rPr>
        <w:t>Wahyudi</w:t>
      </w:r>
      <w:proofErr w:type="spellEnd"/>
      <w:r w:rsidRPr="00971BD0">
        <w:rPr>
          <w:rFonts w:ascii="Palatino Linotype" w:eastAsia="Times New Roman" w:hAnsi="Palatino Linotype" w:cs="Times New Roman"/>
          <w:sz w:val="20"/>
          <w:szCs w:val="20"/>
          <w:lang w:val="en-US"/>
        </w:rPr>
        <w:t xml:space="preserve"> (2022), who state that low-AQ students often have weak self-efficacy and rely heavily on external help rather than constructing solutions independently. </w:t>
      </w:r>
      <w:proofErr w:type="spellStart"/>
      <w:r w:rsidRPr="00971BD0">
        <w:rPr>
          <w:rFonts w:ascii="Palatino Linotype" w:eastAsia="Times New Roman" w:hAnsi="Palatino Linotype" w:cs="Times New Roman"/>
          <w:sz w:val="20"/>
          <w:szCs w:val="20"/>
          <w:lang w:val="en-US"/>
        </w:rPr>
        <w:t>Putri</w:t>
      </w:r>
      <w:proofErr w:type="spellEnd"/>
      <w:r w:rsidRPr="00971BD0">
        <w:rPr>
          <w:rFonts w:ascii="Palatino Linotype" w:eastAsia="Times New Roman" w:hAnsi="Palatino Linotype" w:cs="Times New Roman"/>
          <w:sz w:val="20"/>
          <w:szCs w:val="20"/>
          <w:lang w:val="en-US"/>
        </w:rPr>
        <w:t xml:space="preserve"> and </w:t>
      </w:r>
      <w:proofErr w:type="spellStart"/>
      <w:r w:rsidRPr="00971BD0">
        <w:rPr>
          <w:rFonts w:ascii="Palatino Linotype" w:eastAsia="Times New Roman" w:hAnsi="Palatino Linotype" w:cs="Times New Roman"/>
          <w:sz w:val="20"/>
          <w:szCs w:val="20"/>
          <w:lang w:val="en-US"/>
        </w:rPr>
        <w:t>Jailani</w:t>
      </w:r>
      <w:proofErr w:type="spellEnd"/>
      <w:r w:rsidRPr="00971BD0">
        <w:rPr>
          <w:rFonts w:ascii="Palatino Linotype" w:eastAsia="Times New Roman" w:hAnsi="Palatino Linotype" w:cs="Times New Roman"/>
          <w:sz w:val="20"/>
          <w:szCs w:val="20"/>
          <w:lang w:val="en-US"/>
        </w:rPr>
        <w:t xml:space="preserve"> (2020) add that students with low AQ are more prone to academic anxiety, which directly affects their ability to elaborate ideas and limits flexibility in mathematical thinking. Even with familiar problem types, low-AQ students often fail to transfer previously learned knowledge to new situations because they are not accustomed to engaging with cognitive challenges.</w:t>
      </w:r>
    </w:p>
    <w:p w14:paraId="74A15227" w14:textId="1E571E4F" w:rsidR="00971BD0" w:rsidRPr="00971BD0" w:rsidRDefault="00971BD0" w:rsidP="00971BD0">
      <w:pPr>
        <w:spacing w:before="100" w:beforeAutospacing="1" w:after="100" w:afterAutospacing="1" w:line="240" w:lineRule="auto"/>
        <w:jc w:val="both"/>
        <w:rPr>
          <w:rFonts w:ascii="Times New Roman" w:eastAsia="Times New Roman" w:hAnsi="Times New Roman" w:cs="Times New Roman"/>
          <w:sz w:val="24"/>
          <w:szCs w:val="24"/>
          <w:lang w:val="en-US"/>
        </w:rPr>
      </w:pPr>
      <w:r w:rsidRPr="00971BD0">
        <w:rPr>
          <w:rFonts w:ascii="Palatino Linotype" w:eastAsia="Times New Roman" w:hAnsi="Palatino Linotype" w:cs="Times New Roman"/>
          <w:sz w:val="20"/>
          <w:szCs w:val="20"/>
          <w:lang w:val="en-US"/>
        </w:rPr>
        <w:t>Overall, the creative thinking ability of low-AQ students does not develop optimally due to a combination of low persistence, habitual avoidance of problems, and low confidence in their own abilities. This highlights the importance of instructional interventions that focus not only on cognitive aspects but also on affective and motivational dimensions, such as strengthening mental resilience and training students with open-ended problem-solving strategies</w:t>
      </w:r>
      <w:r w:rsidRPr="00971BD0">
        <w:rPr>
          <w:rFonts w:ascii="Times New Roman" w:eastAsia="Times New Roman" w:hAnsi="Times New Roman" w:cs="Times New Roman"/>
          <w:sz w:val="24"/>
          <w:szCs w:val="24"/>
          <w:lang w:val="en-US"/>
        </w:rPr>
        <w:t>.</w:t>
      </w:r>
    </w:p>
    <w:p w14:paraId="1E2195D4" w14:textId="77777777" w:rsidR="005B5AEC" w:rsidRPr="00723B12" w:rsidRDefault="005B5AEC" w:rsidP="002A02C2">
      <w:pPr>
        <w:pStyle w:val="Alishlah21heading1"/>
        <w:rPr>
          <w:rFonts w:eastAsia="Arial"/>
        </w:rPr>
      </w:pPr>
      <w:r w:rsidRPr="00723B12">
        <w:rPr>
          <w:rFonts w:eastAsia="Arial"/>
        </w:rPr>
        <w:t xml:space="preserve">CONCLUSION </w:t>
      </w:r>
    </w:p>
    <w:p w14:paraId="1B03C36B" w14:textId="77777777" w:rsidR="00971BD0" w:rsidRDefault="00971BD0" w:rsidP="00971BD0">
      <w:pPr>
        <w:pStyle w:val="Alishlah62Acknowledgments"/>
        <w:ind w:firstLine="426"/>
        <w:rPr>
          <w:sz w:val="20"/>
          <w:szCs w:val="22"/>
        </w:rPr>
      </w:pPr>
      <w:r w:rsidRPr="00971BD0">
        <w:rPr>
          <w:sz w:val="20"/>
          <w:szCs w:val="22"/>
        </w:rPr>
        <w:t>Based on the findings of the study, it can be concluded that the level of Adversity Quotient (AQ) has a significant influence on students’ creative thinking processes in solving geometry problems. Students with high AQ (Climbers) demonstrated more prominent creative thinking abilities, characterized by fluency in generating ideas, flexibility in selecting solution strategies, the ability to provide detailed explanations (elaboration), and the confidence to produce unique solutions (originality). They also displayed persistence, resilience, and strong self-confidence when facing non-routine or contextual problems.</w:t>
      </w:r>
    </w:p>
    <w:p w14:paraId="21756035" w14:textId="12994E22" w:rsidR="00740B15" w:rsidRDefault="00971BD0" w:rsidP="00971BD0">
      <w:pPr>
        <w:pStyle w:val="Alishlah62Acknowledgments"/>
        <w:ind w:firstLine="426"/>
        <w:rPr>
          <w:sz w:val="20"/>
          <w:szCs w:val="22"/>
        </w:rPr>
      </w:pPr>
      <w:r w:rsidRPr="00971BD0">
        <w:rPr>
          <w:sz w:val="20"/>
          <w:szCs w:val="22"/>
        </w:rPr>
        <w:t>In contrast, students with moderate AQ (Campers) showed limited creative thinking processes. They were able to solve problems but tended to rely on standard approaches and did not explore alternative solutions extensively. When encountering difficulties, they often stopped at their first attempt without trying other strategies.</w:t>
      </w:r>
      <w:r>
        <w:rPr>
          <w:sz w:val="20"/>
          <w:szCs w:val="22"/>
        </w:rPr>
        <w:t xml:space="preserve"> </w:t>
      </w:r>
      <w:r w:rsidRPr="00971BD0">
        <w:rPr>
          <w:sz w:val="20"/>
          <w:szCs w:val="22"/>
        </w:rPr>
        <w:t>Meanwhile, students with low AQ (Quitters) exhibited a tendency to give up easily, lacked clear problem-solving strategies, and were less motivated to think critically and creatively. Their low tolerance for challenge directly affected their limited elaboration and flexibility in thinking.</w:t>
      </w:r>
      <w:r>
        <w:rPr>
          <w:sz w:val="20"/>
          <w:szCs w:val="22"/>
        </w:rPr>
        <w:t xml:space="preserve"> </w:t>
      </w:r>
      <w:r w:rsidRPr="00971BD0">
        <w:rPr>
          <w:sz w:val="20"/>
          <w:szCs w:val="22"/>
        </w:rPr>
        <w:t>Thus, the Adversity Quotient (AQ) is an important factor that supports the development of creative thinking skills in mathematics learning. This study affirms that the development of creative thinking is not solely dependent on cognitive aspects but is also strongly influenced by non-cognitive factors such as persistence, motivation, and resilience in facing challenges. Therefore, educators need to design learning strategies that are not only intellectually challenging but also build students’ emotional and motivational resilience, so that their creative thinking potential can develop optimally.</w:t>
      </w:r>
    </w:p>
    <w:p w14:paraId="122AC787" w14:textId="77777777" w:rsidR="00740B15" w:rsidRPr="00740B15" w:rsidRDefault="00740B15" w:rsidP="00740B15">
      <w:pPr>
        <w:pStyle w:val="Alishlah62Acknowledgments"/>
        <w:spacing w:before="0"/>
        <w:ind w:firstLine="426"/>
        <w:rPr>
          <w:sz w:val="20"/>
          <w:szCs w:val="22"/>
        </w:rPr>
      </w:pPr>
    </w:p>
    <w:p w14:paraId="1311C35C" w14:textId="77777777" w:rsidR="005B5AEC" w:rsidRDefault="005B5AEC" w:rsidP="002A02C2">
      <w:pPr>
        <w:pStyle w:val="Alishlah21heading1"/>
        <w:numPr>
          <w:ilvl w:val="0"/>
          <w:numId w:val="0"/>
        </w:numPr>
        <w:rPr>
          <w:rFonts w:eastAsia="Arial"/>
        </w:rPr>
      </w:pPr>
      <w:r w:rsidRPr="00723B12">
        <w:rPr>
          <w:rFonts w:eastAsia="Arial"/>
        </w:rPr>
        <w:t>REFERENCES</w:t>
      </w:r>
    </w:p>
    <w:p w14:paraId="2309DB7A" w14:textId="77777777" w:rsidR="00F0298E" w:rsidRPr="00F0298E" w:rsidRDefault="00F0298E" w:rsidP="00F0298E">
      <w:pPr>
        <w:pStyle w:val="Alishlah71References"/>
        <w:rPr>
          <w:lang w:val="id-ID"/>
        </w:rPr>
      </w:pPr>
      <w:r w:rsidRPr="00F0298E">
        <w:rPr>
          <w:lang w:val="id-ID"/>
        </w:rPr>
        <w:t>Febriyanti, U. A., Hobri., &amp; Setiawani, S. (2016). Tingkat berpikir kreatif siswa kelas vii dalam menyelesaikan soal open-endedpada sub pokok bahasan persegi panjang dan persegi. Jurnal Edukasi UNEJ, 3(2), 5-8.</w:t>
      </w:r>
    </w:p>
    <w:p w14:paraId="4C35AC70" w14:textId="77777777" w:rsidR="00F0298E" w:rsidRPr="00F0298E" w:rsidRDefault="00F0298E" w:rsidP="00F0298E">
      <w:pPr>
        <w:pStyle w:val="Alishlah71References"/>
        <w:rPr>
          <w:lang w:val="id-ID"/>
        </w:rPr>
      </w:pPr>
      <w:r w:rsidRPr="00F0298E">
        <w:rPr>
          <w:lang w:val="id-ID"/>
        </w:rPr>
        <w:t xml:space="preserve">Firdausi, Y. N., Asikin, M. &amp; Wuryanto. (2018). Analisis kemampuan berpikir kreatif siswa ditinjau dari gaya belajar pada pembelajaran model eliciting activities (MEA). Prisma 1, Prosiding Seminar Nasional Matematika. 239-247. </w:t>
      </w:r>
    </w:p>
    <w:p w14:paraId="42252BB7" w14:textId="77777777" w:rsidR="00F0298E" w:rsidRPr="00F0298E" w:rsidRDefault="00F0298E" w:rsidP="00F0298E">
      <w:pPr>
        <w:pStyle w:val="Alishlah71References"/>
        <w:rPr>
          <w:lang w:val="id-ID"/>
        </w:rPr>
      </w:pPr>
      <w:r w:rsidRPr="00F0298E">
        <w:rPr>
          <w:lang w:val="id-ID"/>
        </w:rPr>
        <w:t xml:space="preserve">Iswari, N. R., Sulistyaningsih, D., &amp; Sutopo, D. (2021). Profil Berpikir Kreatif Siswa Ditinjau dari Adversity Quotient dalam Menyelesaikan Masalah Geometri. </w:t>
      </w:r>
      <w:r w:rsidRPr="00F0298E">
        <w:rPr>
          <w:i/>
          <w:iCs/>
          <w:lang w:val="id-ID"/>
        </w:rPr>
        <w:t>Jurnal Ilmiah Pendidikan Matematika</w:t>
      </w:r>
      <w:r w:rsidRPr="00F0298E">
        <w:rPr>
          <w:lang w:val="id-ID"/>
        </w:rPr>
        <w:t xml:space="preserve">, 10(2), 125–136. </w:t>
      </w:r>
      <w:hyperlink r:id="rId16" w:history="1">
        <w:r w:rsidRPr="00F0298E">
          <w:rPr>
            <w:rStyle w:val="Hyperlink"/>
            <w:lang w:val="id-ID"/>
          </w:rPr>
          <w:t>https://doi.org/10.25273/jipm.v10i2.9291</w:t>
        </w:r>
      </w:hyperlink>
      <w:r w:rsidRPr="00F0298E">
        <w:rPr>
          <w:lang w:val="id-ID"/>
        </w:rPr>
        <w:t xml:space="preserve"> </w:t>
      </w:r>
    </w:p>
    <w:p w14:paraId="270ADBF5" w14:textId="77777777" w:rsidR="00F0298E" w:rsidRPr="00F0298E" w:rsidRDefault="00F0298E" w:rsidP="00F0298E">
      <w:pPr>
        <w:pStyle w:val="Alishlah71References"/>
      </w:pPr>
      <w:r w:rsidRPr="00F0298E">
        <w:t xml:space="preserve">Kim, H., Park, J., &amp; Lee, S. (2024). </w:t>
      </w:r>
      <w:r w:rsidRPr="00F0298E">
        <w:rPr>
          <w:i/>
          <w:iCs/>
        </w:rPr>
        <w:t>The Role of Adversity Quotient in Mathematical Problem Solving and Creativity Development</w:t>
      </w:r>
      <w:r w:rsidRPr="00F0298E">
        <w:t>. Journal of Mathematics Education, 35(1), 45-60.</w:t>
      </w:r>
    </w:p>
    <w:p w14:paraId="66A4FCA0" w14:textId="77777777" w:rsidR="00F0298E" w:rsidRPr="00F0298E" w:rsidRDefault="00F0298E" w:rsidP="00F0298E">
      <w:pPr>
        <w:pStyle w:val="Alishlah71References"/>
      </w:pPr>
      <w:r w:rsidRPr="00F0298E">
        <w:t>Langi EL, Juniati, Abadi. (2021) Understanding definite integral concepts of prospective teachers through actions and processes based on gender difference. In: Journal of Physics: Conference Series. IOP Publishing Ltd.</w:t>
      </w:r>
    </w:p>
    <w:p w14:paraId="7AF6DA57" w14:textId="77777777" w:rsidR="00971BD0" w:rsidRDefault="00F0298E" w:rsidP="00971BD0">
      <w:pPr>
        <w:pStyle w:val="Alishlah71References"/>
      </w:pPr>
      <w:r w:rsidRPr="00F0298E">
        <w:t>Langi EL, Palayukan H, Palengka I. (2022) Proses Berpikir Mahasiswa Calon Guru Matematika Dalam Menyelesaikan Soal Integral Berdasarkan Teori APOS. In: Seminar Nasional 2 Pendidikan Matematika UKI Toraja. Makale, Tana Toraja: Program Studi Pendidikan Matematika Fakultas Keguruan dan Ilmu Pendidikan Universitas Kristen Indonesia Toraja. p. 1–7.</w:t>
      </w:r>
    </w:p>
    <w:p w14:paraId="5ADE9CDB" w14:textId="6B233C55" w:rsidR="00F0298E" w:rsidRPr="00F0298E" w:rsidRDefault="00971BD0" w:rsidP="00971BD0">
      <w:pPr>
        <w:pStyle w:val="Alishlah71References"/>
      </w:pPr>
      <w:r>
        <w:t xml:space="preserve">Lembang, S. T. “Characteristics Of Toraja Culture-Based Mathematics Learning Model”. Dalam jurnal </w:t>
      </w:r>
      <w:r>
        <w:rPr>
          <w:rStyle w:val="Emphasis"/>
        </w:rPr>
        <w:t>International Journal of Educational, Vocational and Social Studies</w:t>
      </w:r>
      <w:r>
        <w:t>.</w:t>
      </w:r>
    </w:p>
    <w:p w14:paraId="29345B85" w14:textId="77777777" w:rsidR="00F0298E" w:rsidRPr="00F0298E" w:rsidRDefault="00F0298E" w:rsidP="00F0298E">
      <w:pPr>
        <w:pStyle w:val="Alishlah71References"/>
        <w:rPr>
          <w:lang w:val="id-ID"/>
        </w:rPr>
      </w:pPr>
      <w:r w:rsidRPr="00F0298E">
        <w:rPr>
          <w:lang w:val="id-ID"/>
        </w:rPr>
        <w:t xml:space="preserve">Putra, S. P., &amp; Jailani, J. (2020). Profil Adversity Quotient dan Berpikir Matematis Siswa dalam Menyelesaikan Masalah Matematika. </w:t>
      </w:r>
      <w:r w:rsidRPr="00F0298E">
        <w:rPr>
          <w:i/>
          <w:iCs/>
          <w:lang w:val="id-ID"/>
        </w:rPr>
        <w:t>PYTHAGORAS: Jurnal Pendidikan Matematika</w:t>
      </w:r>
      <w:r w:rsidRPr="00F0298E">
        <w:rPr>
          <w:lang w:val="id-ID"/>
        </w:rPr>
        <w:t xml:space="preserve">, 15(1), 33–42. </w:t>
      </w:r>
      <w:hyperlink r:id="rId17" w:history="1">
        <w:r w:rsidRPr="00F0298E">
          <w:rPr>
            <w:rStyle w:val="Hyperlink"/>
            <w:lang w:val="id-ID"/>
          </w:rPr>
          <w:t>https://doi.org/10.21831/pg.v15i1.28479</w:t>
        </w:r>
      </w:hyperlink>
    </w:p>
    <w:p w14:paraId="58A7CE9D" w14:textId="77777777" w:rsidR="00F0298E" w:rsidRPr="00F0298E" w:rsidRDefault="00F0298E" w:rsidP="00F0298E">
      <w:pPr>
        <w:pStyle w:val="Alishlah71References"/>
      </w:pPr>
      <w:r w:rsidRPr="00F0298E">
        <w:rPr>
          <w:lang w:val="id-ID"/>
        </w:rPr>
        <w:t xml:space="preserve">Rachmadyanti, I., &amp; Wahyudi, A. (2022). Profil Kemampuan Berpikir Kreatif Siswa AQ Rendah dalam Menyelesaikan Masalah Matematika. </w:t>
      </w:r>
      <w:r w:rsidRPr="00F0298E">
        <w:rPr>
          <w:i/>
          <w:iCs/>
          <w:lang w:val="id-ID"/>
        </w:rPr>
        <w:t>AKSIOMA: Jurnal Program Studi Pendidikan Matematika</w:t>
      </w:r>
      <w:r w:rsidRPr="00F0298E">
        <w:rPr>
          <w:lang w:val="id-ID"/>
        </w:rPr>
        <w:t xml:space="preserve">, 11(2), 320–331. </w:t>
      </w:r>
      <w:hyperlink r:id="rId18" w:history="1">
        <w:r w:rsidRPr="00F0298E">
          <w:rPr>
            <w:rStyle w:val="Hyperlink"/>
            <w:lang w:val="id-ID"/>
          </w:rPr>
          <w:t>https://doi.org/10.24127/ajpm.v11i2.4533</w:t>
        </w:r>
      </w:hyperlink>
      <w:r w:rsidRPr="00F0298E">
        <w:rPr>
          <w:lang w:val="id-ID"/>
        </w:rPr>
        <w:t xml:space="preserve"> </w:t>
      </w:r>
    </w:p>
    <w:p w14:paraId="38AE39F2" w14:textId="77777777" w:rsidR="00F0298E" w:rsidRPr="00F0298E" w:rsidRDefault="00F0298E" w:rsidP="00F0298E">
      <w:pPr>
        <w:pStyle w:val="Alishlah71References"/>
      </w:pPr>
      <w:r w:rsidRPr="00F0298E">
        <w:rPr>
          <w:lang w:val="id-ID"/>
        </w:rPr>
        <w:t xml:space="preserve">Rochmiyati, D., &amp; Widodo, S. A. (2020). Analisis Kemampuan Berpikir Kreatif Siswa Berdasarkan Adversity Quotient dalam Menyelesaikan Masalah Matematika. </w:t>
      </w:r>
      <w:r w:rsidRPr="00F0298E">
        <w:rPr>
          <w:i/>
          <w:iCs/>
          <w:lang w:val="id-ID"/>
        </w:rPr>
        <w:t>Jurnal Pendidikan Matematika Raflesia</w:t>
      </w:r>
      <w:r w:rsidRPr="00F0298E">
        <w:rPr>
          <w:lang w:val="id-ID"/>
        </w:rPr>
        <w:t xml:space="preserve">, 5(1), 24–33. </w:t>
      </w:r>
      <w:hyperlink r:id="rId19" w:history="1">
        <w:r w:rsidRPr="00F0298E">
          <w:rPr>
            <w:rStyle w:val="Hyperlink"/>
            <w:lang w:val="id-ID"/>
          </w:rPr>
          <w:t>https://doi.org/10.33369/jpmr.v5i1.11169</w:t>
        </w:r>
      </w:hyperlink>
      <w:r w:rsidRPr="00F0298E">
        <w:rPr>
          <w:lang w:val="id-ID"/>
        </w:rPr>
        <w:t xml:space="preserve"> </w:t>
      </w:r>
    </w:p>
    <w:p w14:paraId="0EF1DBBF" w14:textId="77777777" w:rsidR="00F0298E" w:rsidRPr="00F0298E" w:rsidRDefault="00F0298E" w:rsidP="00F0298E">
      <w:pPr>
        <w:pStyle w:val="Alishlah71References"/>
        <w:rPr>
          <w:lang w:val="id-ID"/>
        </w:rPr>
      </w:pPr>
      <w:r w:rsidRPr="00F0298E">
        <w:rPr>
          <w:lang w:val="id-ID"/>
        </w:rPr>
        <w:t xml:space="preserve">Saputri, N. W., Jailani, J., &amp; Suryadi, D. (2020). Profil Berpikir Kreatif Siswa Ditinjau dari Adversity Quotient dalam Menyelesaikan Masalah Geometri. </w:t>
      </w:r>
      <w:r w:rsidRPr="00F0298E">
        <w:rPr>
          <w:i/>
          <w:iCs/>
          <w:lang w:val="id-ID"/>
        </w:rPr>
        <w:t>Jurnal Riset Pendidikan Matematika</w:t>
      </w:r>
      <w:r w:rsidRPr="00F0298E">
        <w:rPr>
          <w:lang w:val="id-ID"/>
        </w:rPr>
        <w:t>, 7(1), 1–14.</w:t>
      </w:r>
    </w:p>
    <w:p w14:paraId="6F87F843" w14:textId="77777777" w:rsidR="00F0298E" w:rsidRPr="00F0298E" w:rsidRDefault="00F0298E" w:rsidP="00F0298E">
      <w:pPr>
        <w:pStyle w:val="Alishlah71References"/>
        <w:rPr>
          <w:lang w:val="id-ID"/>
        </w:rPr>
      </w:pPr>
      <w:r w:rsidRPr="00F0298E">
        <w:rPr>
          <w:lang w:val="id-ID"/>
        </w:rPr>
        <w:t xml:space="preserve">Savitri, I. A., &amp; Meilana, S. (2022). Pengaruh model pembelajaran flipped classroom terhadap pemahaman konsep IPA siswa. </w:t>
      </w:r>
      <w:r w:rsidRPr="00F0298E">
        <w:rPr>
          <w:i/>
          <w:iCs/>
          <w:lang w:val="id-ID"/>
        </w:rPr>
        <w:t>Jurnal Ilmiah Pendidikan Fisika Al-Biruni</w:t>
      </w:r>
      <w:r w:rsidRPr="00F0298E">
        <w:rPr>
          <w:lang w:val="id-ID"/>
        </w:rPr>
        <w:t xml:space="preserve">, 11(1), 1–14. </w:t>
      </w:r>
      <w:hyperlink r:id="rId20" w:history="1">
        <w:r w:rsidRPr="00F0298E">
          <w:rPr>
            <w:rStyle w:val="Hyperlink"/>
            <w:lang w:val="id-ID"/>
          </w:rPr>
          <w:t>https://doi.org/10.24042/jipfalbiruni.v11i1.10542</w:t>
        </w:r>
      </w:hyperlink>
    </w:p>
    <w:p w14:paraId="4E4C264A" w14:textId="77777777" w:rsidR="00F0298E" w:rsidRPr="00F0298E" w:rsidRDefault="00F0298E" w:rsidP="00F0298E">
      <w:pPr>
        <w:pStyle w:val="Alishlah71References"/>
      </w:pPr>
      <w:r w:rsidRPr="00F0298E">
        <w:rPr>
          <w:lang w:val="id-ID"/>
        </w:rPr>
        <w:t xml:space="preserve">Septianto, R. D., Rohimat, M., &amp; Fatmawati, N. (2022). Pengenalan lapangan persekolahan pendidikan profesi guru dalam penguatan kompetensi profesional dan pedagogik. </w:t>
      </w:r>
      <w:r w:rsidRPr="00F0298E">
        <w:rPr>
          <w:i/>
          <w:iCs/>
          <w:lang w:val="id-ID"/>
        </w:rPr>
        <w:t>Jurnal Pendidikan Tambusai</w:t>
      </w:r>
      <w:r w:rsidRPr="00F0298E">
        <w:rPr>
          <w:lang w:val="id-ID"/>
        </w:rPr>
        <w:t>, 6(3), 12334–12344. https://jptam.org/index.php/jptam/article/view/4559</w:t>
      </w:r>
    </w:p>
    <w:p w14:paraId="5A65B9C6" w14:textId="77777777" w:rsidR="00F0298E" w:rsidRPr="00F0298E" w:rsidRDefault="00F0298E" w:rsidP="00F0298E">
      <w:pPr>
        <w:pStyle w:val="Alishlah71References"/>
      </w:pPr>
      <w:r w:rsidRPr="00F0298E">
        <w:t xml:space="preserve">Silver, E. A. (1997). Fostering creativity through instruction rich in mathematical problem solving and problem posing. </w:t>
      </w:r>
      <w:r w:rsidRPr="00F0298E">
        <w:rPr>
          <w:i/>
          <w:iCs/>
        </w:rPr>
        <w:t>ZDM - Mathematics Education</w:t>
      </w:r>
      <w:r w:rsidRPr="00F0298E">
        <w:t>, 29(3), 75–80.</w:t>
      </w:r>
    </w:p>
    <w:p w14:paraId="0B94D96B" w14:textId="77777777" w:rsidR="00F0298E" w:rsidRPr="00F0298E" w:rsidRDefault="00F0298E" w:rsidP="00F0298E">
      <w:pPr>
        <w:pStyle w:val="Alishlah71References"/>
      </w:pPr>
      <w:r w:rsidRPr="00F0298E">
        <w:t xml:space="preserve">Stoltz, P. G. (1997). </w:t>
      </w:r>
      <w:r w:rsidRPr="00F0298E">
        <w:rPr>
          <w:i/>
          <w:iCs/>
        </w:rPr>
        <w:t>Adversity Quotient: Turning Obstacles into Opportunities</w:t>
      </w:r>
      <w:r w:rsidRPr="00F0298E">
        <w:t>. New York: John Wiley &amp; Sons.</w:t>
      </w:r>
    </w:p>
    <w:p w14:paraId="68659458" w14:textId="77777777" w:rsidR="00F0298E" w:rsidRPr="00F0298E" w:rsidRDefault="00F0298E" w:rsidP="00F0298E">
      <w:pPr>
        <w:pStyle w:val="Alishlah71References"/>
      </w:pPr>
      <w:r w:rsidRPr="00F0298E">
        <w:rPr>
          <w:lang w:val="id-ID"/>
        </w:rPr>
        <w:t xml:space="preserve">Sulistyowati, T. &amp; Sujadi, I. (2021). Analisis Kemampuan Berpikir Kreatif Matematis Siswa Ditinjau dari Adversity Quotient. </w:t>
      </w:r>
      <w:r w:rsidRPr="00F0298E">
        <w:rPr>
          <w:i/>
          <w:iCs/>
          <w:lang w:val="id-ID"/>
        </w:rPr>
        <w:t>Jurnal Riset Pendidikan Matematika</w:t>
      </w:r>
      <w:r w:rsidRPr="00F0298E">
        <w:rPr>
          <w:lang w:val="id-ID"/>
        </w:rPr>
        <w:t xml:space="preserve">, 8(1), 45–58. </w:t>
      </w:r>
      <w:hyperlink r:id="rId21" w:history="1">
        <w:r w:rsidRPr="00F0298E">
          <w:rPr>
            <w:rStyle w:val="Hyperlink"/>
            <w:lang w:val="id-ID"/>
          </w:rPr>
          <w:t>https://doi.org/10.21831/jrpm.v8i1.37954</w:t>
        </w:r>
      </w:hyperlink>
      <w:r w:rsidRPr="00F0298E">
        <w:rPr>
          <w:lang w:val="id-ID"/>
        </w:rPr>
        <w:t xml:space="preserve"> </w:t>
      </w:r>
    </w:p>
    <w:p w14:paraId="7BB2AB37" w14:textId="1BF8CFD5" w:rsidR="00143989" w:rsidRPr="00723B12" w:rsidRDefault="00F0298E" w:rsidP="00F0298E">
      <w:pPr>
        <w:pStyle w:val="Alishlah71References"/>
      </w:pPr>
      <w:r w:rsidRPr="00F0298E">
        <w:t xml:space="preserve">Suryosubroto, B. (2002). </w:t>
      </w:r>
      <w:r w:rsidRPr="00F0298E">
        <w:rPr>
          <w:i/>
          <w:iCs/>
        </w:rPr>
        <w:t>Proses Belajar Mengajar di Sekolah</w:t>
      </w:r>
      <w:r w:rsidRPr="00F0298E">
        <w:t>. Jakarta: Rineka Cipta.</w:t>
      </w:r>
    </w:p>
    <w:sectPr w:rsidR="00143989" w:rsidRPr="00723B12" w:rsidSect="001914CF">
      <w:headerReference w:type="default" r:id="rId22"/>
      <w:footerReference w:type="default" r:id="rId23"/>
      <w:headerReference w:type="first" r:id="rId24"/>
      <w:footerReference w:type="first" r:id="rId25"/>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61FB9" w14:textId="77777777" w:rsidR="00FD2E2F" w:rsidRDefault="00FD2E2F" w:rsidP="008E64A2">
      <w:pPr>
        <w:spacing w:after="0" w:line="240" w:lineRule="auto"/>
      </w:pPr>
      <w:r>
        <w:separator/>
      </w:r>
    </w:p>
    <w:p w14:paraId="234BC7D0" w14:textId="77777777" w:rsidR="00FD2E2F" w:rsidRDefault="00FD2E2F"/>
  </w:endnote>
  <w:endnote w:type="continuationSeparator" w:id="0">
    <w:p w14:paraId="22230989" w14:textId="77777777" w:rsidR="00FD2E2F" w:rsidRDefault="00FD2E2F" w:rsidP="008E64A2">
      <w:pPr>
        <w:spacing w:after="0" w:line="240" w:lineRule="auto"/>
      </w:pPr>
      <w:r>
        <w:continuationSeparator/>
      </w:r>
    </w:p>
    <w:p w14:paraId="35318B69" w14:textId="77777777" w:rsidR="00FD2E2F" w:rsidRDefault="00FD2E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749565"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DF78F"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A7295E" w14:textId="77777777" w:rsidR="00FD2E2F" w:rsidRDefault="00FD2E2F" w:rsidP="008E64A2">
      <w:pPr>
        <w:spacing w:after="0" w:line="240" w:lineRule="auto"/>
      </w:pPr>
      <w:r>
        <w:separator/>
      </w:r>
    </w:p>
    <w:p w14:paraId="4BEAEF36" w14:textId="77777777" w:rsidR="00FD2E2F" w:rsidRDefault="00FD2E2F"/>
  </w:footnote>
  <w:footnote w:type="continuationSeparator" w:id="0">
    <w:p w14:paraId="6E7F361E" w14:textId="77777777" w:rsidR="00FD2E2F" w:rsidRDefault="00FD2E2F" w:rsidP="008E64A2">
      <w:pPr>
        <w:spacing w:after="0" w:line="240" w:lineRule="auto"/>
      </w:pPr>
      <w:r>
        <w:continuationSeparator/>
      </w:r>
    </w:p>
    <w:p w14:paraId="214C1D67" w14:textId="77777777" w:rsidR="00FD2E2F" w:rsidRDefault="00FD2E2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2DFE1"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621FD4E5" wp14:editId="7A373818">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DA77A6"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proofErr w:type="spellStart"/>
    <w:r w:rsidR="00727D5A">
      <w:rPr>
        <w:rFonts w:ascii="Palatino Linotype" w:hAnsi="Palatino Linotype"/>
        <w:i/>
        <w:sz w:val="16"/>
      </w:rPr>
      <w:t>pp</w:t>
    </w:r>
    <w:proofErr w:type="spellEnd"/>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525C75">
      <w:rPr>
        <w:rFonts w:ascii="Palatino Linotype" w:hAnsi="Palatino Linotype"/>
        <w:noProof/>
        <w:sz w:val="16"/>
      </w:rPr>
      <w:t>62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3663A776" w14:textId="77777777" w:rsidR="00F655BD" w:rsidRDefault="00F655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878B7" w14:textId="77777777" w:rsidR="001C18FA" w:rsidRPr="0048254D" w:rsidRDefault="001C18FA" w:rsidP="0048254D">
    <w:pPr>
      <w:pStyle w:val="Header"/>
      <w:ind w:right="45"/>
      <w:rPr>
        <w:rFonts w:ascii="Palatino Linotype" w:hAnsi="Palatino Linotype"/>
        <w:b/>
        <w:sz w:val="20"/>
      </w:rPr>
    </w:pPr>
    <w:bookmarkStart w:id="3"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348BE5D0"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75FC3486"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3"/>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336FE7EE" wp14:editId="67216F00">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22F2B5"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79FE64A1"/>
    <w:multiLevelType w:val="hybridMultilevel"/>
    <w:tmpl w:val="65722F5E"/>
    <w:lvl w:ilvl="0" w:tplc="062AC5C4">
      <w:start w:val="1"/>
      <w:numFmt w:val="lowerLetter"/>
      <w:lvlText w:val="%1."/>
      <w:lvlJc w:val="left"/>
      <w:pPr>
        <w:ind w:left="1075" w:hanging="360"/>
      </w:pPr>
      <w:rPr>
        <w:rFonts w:hint="default"/>
      </w:rPr>
    </w:lvl>
    <w:lvl w:ilvl="1" w:tplc="38090019" w:tentative="1">
      <w:start w:val="1"/>
      <w:numFmt w:val="lowerLetter"/>
      <w:lvlText w:val="%2."/>
      <w:lvlJc w:val="left"/>
      <w:pPr>
        <w:ind w:left="1795" w:hanging="360"/>
      </w:pPr>
    </w:lvl>
    <w:lvl w:ilvl="2" w:tplc="3809001B" w:tentative="1">
      <w:start w:val="1"/>
      <w:numFmt w:val="lowerRoman"/>
      <w:lvlText w:val="%3."/>
      <w:lvlJc w:val="right"/>
      <w:pPr>
        <w:ind w:left="2515" w:hanging="180"/>
      </w:pPr>
    </w:lvl>
    <w:lvl w:ilvl="3" w:tplc="3809000F" w:tentative="1">
      <w:start w:val="1"/>
      <w:numFmt w:val="decimal"/>
      <w:lvlText w:val="%4."/>
      <w:lvlJc w:val="left"/>
      <w:pPr>
        <w:ind w:left="3235" w:hanging="360"/>
      </w:pPr>
    </w:lvl>
    <w:lvl w:ilvl="4" w:tplc="38090019" w:tentative="1">
      <w:start w:val="1"/>
      <w:numFmt w:val="lowerLetter"/>
      <w:lvlText w:val="%5."/>
      <w:lvlJc w:val="left"/>
      <w:pPr>
        <w:ind w:left="3955" w:hanging="360"/>
      </w:pPr>
    </w:lvl>
    <w:lvl w:ilvl="5" w:tplc="3809001B" w:tentative="1">
      <w:start w:val="1"/>
      <w:numFmt w:val="lowerRoman"/>
      <w:lvlText w:val="%6."/>
      <w:lvlJc w:val="right"/>
      <w:pPr>
        <w:ind w:left="4675" w:hanging="180"/>
      </w:pPr>
    </w:lvl>
    <w:lvl w:ilvl="6" w:tplc="3809000F" w:tentative="1">
      <w:start w:val="1"/>
      <w:numFmt w:val="decimal"/>
      <w:lvlText w:val="%7."/>
      <w:lvlJc w:val="left"/>
      <w:pPr>
        <w:ind w:left="5395" w:hanging="360"/>
      </w:pPr>
    </w:lvl>
    <w:lvl w:ilvl="7" w:tplc="38090019" w:tentative="1">
      <w:start w:val="1"/>
      <w:numFmt w:val="lowerLetter"/>
      <w:lvlText w:val="%8."/>
      <w:lvlJc w:val="left"/>
      <w:pPr>
        <w:ind w:left="6115" w:hanging="360"/>
      </w:pPr>
    </w:lvl>
    <w:lvl w:ilvl="8" w:tplc="3809001B" w:tentative="1">
      <w:start w:val="1"/>
      <w:numFmt w:val="lowerRoman"/>
      <w:lvlText w:val="%9."/>
      <w:lvlJc w:val="right"/>
      <w:pPr>
        <w:ind w:left="6835" w:hanging="180"/>
      </w:pPr>
    </w:lvl>
  </w:abstractNum>
  <w:num w:numId="1">
    <w:abstractNumId w:val="9"/>
  </w:num>
  <w:num w:numId="2">
    <w:abstractNumId w:val="10"/>
  </w:num>
  <w:num w:numId="3">
    <w:abstractNumId w:val="6"/>
  </w:num>
  <w:num w:numId="4">
    <w:abstractNumId w:val="5"/>
  </w:num>
  <w:num w:numId="5">
    <w:abstractNumId w:val="13"/>
  </w:num>
  <w:num w:numId="6">
    <w:abstractNumId w:val="16"/>
  </w:num>
  <w:num w:numId="7">
    <w:abstractNumId w:val="1"/>
  </w:num>
  <w:num w:numId="8">
    <w:abstractNumId w:val="15"/>
  </w:num>
  <w:num w:numId="9">
    <w:abstractNumId w:val="8"/>
  </w:num>
  <w:num w:numId="10">
    <w:abstractNumId w:val="14"/>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
  </w:num>
  <w:num w:numId="14">
    <w:abstractNumId w:val="11"/>
  </w:num>
  <w:num w:numId="15">
    <w:abstractNumId w:val="12"/>
  </w:num>
  <w:num w:numId="16">
    <w:abstractNumId w:val="0"/>
  </w:num>
  <w:num w:numId="17">
    <w:abstractNumId w:val="4"/>
  </w:num>
  <w:num w:numId="18">
    <w:abstractNumId w:val="7"/>
  </w:num>
  <w:num w:numId="19">
    <w:abstractNumId w:val="18"/>
  </w:num>
  <w:num w:numId="2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FD0B2B"/>
    <w:rsid w:val="000061CE"/>
    <w:rsid w:val="00031DD5"/>
    <w:rsid w:val="000333AC"/>
    <w:rsid w:val="000355EA"/>
    <w:rsid w:val="00035C67"/>
    <w:rsid w:val="00056E9C"/>
    <w:rsid w:val="000735BB"/>
    <w:rsid w:val="00075197"/>
    <w:rsid w:val="000831BD"/>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3F3E"/>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56E8"/>
    <w:rsid w:val="003C3B3B"/>
    <w:rsid w:val="003D061C"/>
    <w:rsid w:val="003D7DFB"/>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5C75"/>
    <w:rsid w:val="00526694"/>
    <w:rsid w:val="005340DA"/>
    <w:rsid w:val="0055125A"/>
    <w:rsid w:val="0055535C"/>
    <w:rsid w:val="00561289"/>
    <w:rsid w:val="00566877"/>
    <w:rsid w:val="005710E6"/>
    <w:rsid w:val="005807EE"/>
    <w:rsid w:val="005909CA"/>
    <w:rsid w:val="00590ECF"/>
    <w:rsid w:val="005940A2"/>
    <w:rsid w:val="005A0E25"/>
    <w:rsid w:val="005A317A"/>
    <w:rsid w:val="005A7A9C"/>
    <w:rsid w:val="005B0D7F"/>
    <w:rsid w:val="005B4643"/>
    <w:rsid w:val="005B5AEC"/>
    <w:rsid w:val="005C1CC8"/>
    <w:rsid w:val="005C4902"/>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0AA1"/>
    <w:rsid w:val="00721B39"/>
    <w:rsid w:val="00721D46"/>
    <w:rsid w:val="00723972"/>
    <w:rsid w:val="00727D5A"/>
    <w:rsid w:val="0073613A"/>
    <w:rsid w:val="00740B15"/>
    <w:rsid w:val="00741921"/>
    <w:rsid w:val="0074579B"/>
    <w:rsid w:val="00750180"/>
    <w:rsid w:val="00751F6C"/>
    <w:rsid w:val="007549C7"/>
    <w:rsid w:val="00763D48"/>
    <w:rsid w:val="007706D1"/>
    <w:rsid w:val="00776DFE"/>
    <w:rsid w:val="00784B9B"/>
    <w:rsid w:val="00787398"/>
    <w:rsid w:val="007A2C38"/>
    <w:rsid w:val="007B2B7A"/>
    <w:rsid w:val="007B716C"/>
    <w:rsid w:val="007C3104"/>
    <w:rsid w:val="007E0F04"/>
    <w:rsid w:val="007E5CEF"/>
    <w:rsid w:val="007E6AA6"/>
    <w:rsid w:val="007E6E1C"/>
    <w:rsid w:val="007F0542"/>
    <w:rsid w:val="007F2733"/>
    <w:rsid w:val="00802C6D"/>
    <w:rsid w:val="008036D9"/>
    <w:rsid w:val="00825D42"/>
    <w:rsid w:val="008477FA"/>
    <w:rsid w:val="00863036"/>
    <w:rsid w:val="00873823"/>
    <w:rsid w:val="00874DBD"/>
    <w:rsid w:val="00883EAA"/>
    <w:rsid w:val="008841DF"/>
    <w:rsid w:val="008858AA"/>
    <w:rsid w:val="00887B61"/>
    <w:rsid w:val="008952C2"/>
    <w:rsid w:val="0089730B"/>
    <w:rsid w:val="008D0E8E"/>
    <w:rsid w:val="008D272B"/>
    <w:rsid w:val="008D6030"/>
    <w:rsid w:val="008E27C5"/>
    <w:rsid w:val="008E64A2"/>
    <w:rsid w:val="008F21D0"/>
    <w:rsid w:val="008F618A"/>
    <w:rsid w:val="00917C32"/>
    <w:rsid w:val="00921BF0"/>
    <w:rsid w:val="00922701"/>
    <w:rsid w:val="00926A4F"/>
    <w:rsid w:val="00935589"/>
    <w:rsid w:val="0093774D"/>
    <w:rsid w:val="0093781E"/>
    <w:rsid w:val="00941210"/>
    <w:rsid w:val="0094243B"/>
    <w:rsid w:val="009466DD"/>
    <w:rsid w:val="00961E09"/>
    <w:rsid w:val="00961F83"/>
    <w:rsid w:val="009636A4"/>
    <w:rsid w:val="00964447"/>
    <w:rsid w:val="00966B3D"/>
    <w:rsid w:val="00971961"/>
    <w:rsid w:val="00971BD0"/>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930A2"/>
    <w:rsid w:val="00BA14D2"/>
    <w:rsid w:val="00BA707F"/>
    <w:rsid w:val="00BB1A84"/>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45182"/>
    <w:rsid w:val="00C66ECA"/>
    <w:rsid w:val="00C721BA"/>
    <w:rsid w:val="00C8406B"/>
    <w:rsid w:val="00C94847"/>
    <w:rsid w:val="00CA3B3C"/>
    <w:rsid w:val="00CC0C2B"/>
    <w:rsid w:val="00CC3DB2"/>
    <w:rsid w:val="00CC7F21"/>
    <w:rsid w:val="00CD2960"/>
    <w:rsid w:val="00CD3AE9"/>
    <w:rsid w:val="00CE131B"/>
    <w:rsid w:val="00CE242C"/>
    <w:rsid w:val="00CE41A5"/>
    <w:rsid w:val="00CF5425"/>
    <w:rsid w:val="00D13D39"/>
    <w:rsid w:val="00D2296B"/>
    <w:rsid w:val="00D31547"/>
    <w:rsid w:val="00D37209"/>
    <w:rsid w:val="00D51A98"/>
    <w:rsid w:val="00D74358"/>
    <w:rsid w:val="00D75604"/>
    <w:rsid w:val="00D77FAD"/>
    <w:rsid w:val="00D81206"/>
    <w:rsid w:val="00D90DB0"/>
    <w:rsid w:val="00DA0836"/>
    <w:rsid w:val="00DA2631"/>
    <w:rsid w:val="00DA5A82"/>
    <w:rsid w:val="00DD295B"/>
    <w:rsid w:val="00DE2B7D"/>
    <w:rsid w:val="00DF215F"/>
    <w:rsid w:val="00E00922"/>
    <w:rsid w:val="00E05855"/>
    <w:rsid w:val="00E1438C"/>
    <w:rsid w:val="00E22B8E"/>
    <w:rsid w:val="00E45249"/>
    <w:rsid w:val="00E517C5"/>
    <w:rsid w:val="00E56B59"/>
    <w:rsid w:val="00E74590"/>
    <w:rsid w:val="00E77E86"/>
    <w:rsid w:val="00E85AC8"/>
    <w:rsid w:val="00EA7D37"/>
    <w:rsid w:val="00EE35A7"/>
    <w:rsid w:val="00EF47B8"/>
    <w:rsid w:val="00F0298E"/>
    <w:rsid w:val="00F03710"/>
    <w:rsid w:val="00F05579"/>
    <w:rsid w:val="00F15294"/>
    <w:rsid w:val="00F30CBA"/>
    <w:rsid w:val="00F30EA6"/>
    <w:rsid w:val="00F36C4F"/>
    <w:rsid w:val="00F40982"/>
    <w:rsid w:val="00F655BD"/>
    <w:rsid w:val="00F67706"/>
    <w:rsid w:val="00F6777E"/>
    <w:rsid w:val="00F8776C"/>
    <w:rsid w:val="00F941E4"/>
    <w:rsid w:val="00FA1A2E"/>
    <w:rsid w:val="00FA3411"/>
    <w:rsid w:val="00FA43FF"/>
    <w:rsid w:val="00FA57C1"/>
    <w:rsid w:val="00FC00CE"/>
    <w:rsid w:val="00FD0B2B"/>
    <w:rsid w:val="00FD2E2F"/>
    <w:rsid w:val="00FD3643"/>
    <w:rsid w:val="00FD612C"/>
    <w:rsid w:val="00FE1BD7"/>
    <w:rsid w:val="00FE2A5A"/>
    <w:rsid w:val="00FE2F54"/>
    <w:rsid w:val="00FE4EBE"/>
    <w:rsid w:val="00FE5014"/>
    <w:rsid w:val="00FE6068"/>
    <w:rsid w:val="00FF03FB"/>
    <w:rsid w:val="00FF155D"/>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9A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styleId="Emphasis">
    <w:name w:val="Emphasis"/>
    <w:basedOn w:val="DefaultParagraphFont"/>
    <w:uiPriority w:val="20"/>
    <w:qFormat/>
    <w:rsid w:val="00971BD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styleId="Emphasis">
    <w:name w:val="Emphasis"/>
    <w:basedOn w:val="DefaultParagraphFont"/>
    <w:uiPriority w:val="20"/>
    <w:qFormat/>
    <w:rsid w:val="00971B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991713113">
      <w:bodyDiv w:val="1"/>
      <w:marLeft w:val="0"/>
      <w:marRight w:val="0"/>
      <w:marTop w:val="0"/>
      <w:marBottom w:val="0"/>
      <w:divBdr>
        <w:top w:val="none" w:sz="0" w:space="0" w:color="auto"/>
        <w:left w:val="none" w:sz="0" w:space="0" w:color="auto"/>
        <w:bottom w:val="none" w:sz="0" w:space="0" w:color="auto"/>
        <w:right w:val="none" w:sz="0" w:space="0" w:color="auto"/>
      </w:divBdr>
    </w:div>
    <w:div w:id="1442606797">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727412355">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878737774">
      <w:bodyDiv w:val="1"/>
      <w:marLeft w:val="0"/>
      <w:marRight w:val="0"/>
      <w:marTop w:val="0"/>
      <w:marBottom w:val="0"/>
      <w:divBdr>
        <w:top w:val="none" w:sz="0" w:space="0" w:color="auto"/>
        <w:left w:val="none" w:sz="0" w:space="0" w:color="auto"/>
        <w:bottom w:val="none" w:sz="0" w:space="0" w:color="auto"/>
        <w:right w:val="none" w:sz="0" w:space="0" w:color="auto"/>
      </w:divBdr>
    </w:div>
    <w:div w:id="1940680591">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https://doi.org/10.24127/ajpm.v11i2.453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21831/jrpm.v8i1.37954" TargetMode="External"/><Relationship Id="rId7" Type="http://schemas.openxmlformats.org/officeDocument/2006/relationships/footnotes" Target="footnotes.xml"/><Relationship Id="rId12" Type="http://schemas.openxmlformats.org/officeDocument/2006/relationships/hyperlink" Target="https://creativecommons.org/licenses/by-nc-sa/4.0/" TargetMode="External"/><Relationship Id="rId17" Type="http://schemas.openxmlformats.org/officeDocument/2006/relationships/hyperlink" Target="https://doi.org/10.21831/pg.v15i1.28479"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25273/jipm.v10i2.9291" TargetMode="External"/><Relationship Id="rId20" Type="http://schemas.openxmlformats.org/officeDocument/2006/relationships/hyperlink" Target="https://doi.org/10.24042/jipfalbiruni.v11i1.105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ritutusuri@gmail.com"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hyperlink" Target="mailto:hersiyati@ukitoraja.ac.id" TargetMode="External"/><Relationship Id="rId19" Type="http://schemas.openxmlformats.org/officeDocument/2006/relationships/hyperlink" Target="https://doi.org/10.33369/jpmr.v5i1.11169" TargetMode="External"/><Relationship Id="rId4" Type="http://schemas.microsoft.com/office/2007/relationships/stylesWithEffects" Target="stylesWithEffects.xml"/><Relationship Id="rId9" Type="http://schemas.openxmlformats.org/officeDocument/2006/relationships/hyperlink" Target="mailto:sonny_yalti@ukitoraja.ac.id" TargetMode="Externa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DI%20Pmat\Sinta%202-Athri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33EF2-58D3-46F6-9647-2F13F5D3A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Sinta 2-Athrie</Template>
  <TotalTime>9</TotalTime>
  <Pages>1</Pages>
  <Words>3940</Words>
  <Characters>22977</Characters>
  <Application>Microsoft Office Word</Application>
  <DocSecurity>0</DocSecurity>
  <Lines>364</Lines>
  <Paragraphs>100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INTRODUCTION</vt:lpstr>
      <vt:lpstr>METHODS </vt:lpstr>
      <vt:lpstr>This study is a qualitative research employing a case study approach. The resear</vt:lpstr>
      <vt:lpstr>FINDINGS AND DISCUSSION</vt:lpstr>
      <vt:lpstr>    The results of the problem-solving tasks completed by the Climber (high AQ) subj</vt:lpstr>
      <vt:lpstr>    3.2. Camper (Moderate AQ) Subject (AQS) AQS’s written responses to the two geome</vt:lpstr>
      <vt:lpstr>    3.3. Quitter (Low AQ) Subject (AQR)</vt:lpstr>
      <vt:lpstr>    AQR was unable to answer the problems in written form, so an in-depth interview </vt:lpstr>
      <vt:lpstr>CONCLUSION </vt:lpstr>
      <vt:lpstr>REFERENCES</vt:lpstr>
    </vt:vector>
  </TitlesOfParts>
  <Company/>
  <LinksUpToDate>false</LinksUpToDate>
  <CharactersWithSpaces>26817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 User</dc:creator>
  <cp:lastModifiedBy>Lenovo</cp:lastModifiedBy>
  <cp:revision>5</cp:revision>
  <cp:lastPrinted>2025-11-17T12:37:00Z</cp:lastPrinted>
  <dcterms:created xsi:type="dcterms:W3CDTF">2025-11-21T05:53:00Z</dcterms:created>
  <dcterms:modified xsi:type="dcterms:W3CDTF">2025-11-21T07:10:00Z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