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645" w:rsidRDefault="00AD0645" w:rsidP="002C57D4">
      <w:pPr>
        <w:pStyle w:val="Alishlah13authornames"/>
        <w:rPr>
          <w:rFonts w:ascii="Calisto MT" w:eastAsia="Calibri" w:hAnsi="Calisto MT" w:cs="Calibri"/>
          <w:b w:val="0"/>
          <w:color w:val="auto"/>
          <w:sz w:val="28"/>
          <w:lang w:eastAsia="en-US" w:bidi="ar-SA"/>
        </w:rPr>
      </w:pPr>
    </w:p>
    <w:p w:rsidR="00AD0645" w:rsidRPr="00AD0645" w:rsidRDefault="004B363E" w:rsidP="002C57D4">
      <w:pPr>
        <w:pStyle w:val="Alishlah13authornames"/>
        <w:rPr>
          <w:lang w:val="en-GB"/>
        </w:rPr>
      </w:pPr>
      <w:r w:rsidRPr="004B363E">
        <w:rPr>
          <w:rFonts w:eastAsia="Calibri" w:cs="Calibri"/>
          <w:b w:val="0"/>
          <w:color w:val="auto"/>
          <w:sz w:val="28"/>
          <w:lang w:val="id-ID" w:eastAsia="en-US" w:bidi="ar-SA"/>
        </w:rPr>
        <w:t>Teachers' Challenges and Expectations for Artificial Intelligence-Based Geometry Learning at Tana Toraja Junior High School</w:t>
      </w:r>
      <w:r w:rsidR="00AD0645" w:rsidRPr="00AD0645">
        <w:rPr>
          <w:lang w:val="en-GB"/>
        </w:rPr>
        <w:br/>
      </w:r>
    </w:p>
    <w:p w:rsidR="00BE398A" w:rsidRPr="004B363E" w:rsidRDefault="004B363E" w:rsidP="002C57D4">
      <w:pPr>
        <w:pStyle w:val="Alishlah13authornames"/>
        <w:rPr>
          <w:vertAlign w:val="superscript"/>
          <w:lang w:val="en-GB"/>
        </w:rPr>
      </w:pPr>
      <w:proofErr w:type="spellStart"/>
      <w:r>
        <w:rPr>
          <w:rFonts w:ascii="Times New Roman" w:eastAsia="Aptos" w:hAnsi="Times New Roman"/>
          <w:bCs/>
          <w:kern w:val="2"/>
          <w14:ligatures w14:val="standardContextual"/>
        </w:rPr>
        <w:t>Cheisar</w:t>
      </w:r>
      <w:proofErr w:type="spellEnd"/>
      <w:r>
        <w:rPr>
          <w:rFonts w:ascii="Times New Roman" w:eastAsia="Aptos" w:hAnsi="Times New Roman"/>
          <w:bCs/>
          <w:kern w:val="2"/>
          <w14:ligatures w14:val="standardContextual"/>
        </w:rPr>
        <w:t xml:space="preserve"> Manga </w:t>
      </w:r>
      <w:proofErr w:type="spellStart"/>
      <w:proofErr w:type="gramStart"/>
      <w:r>
        <w:rPr>
          <w:rFonts w:ascii="Times New Roman" w:eastAsia="Aptos" w:hAnsi="Times New Roman"/>
          <w:bCs/>
          <w:kern w:val="2"/>
          <w14:ligatures w14:val="standardContextual"/>
        </w:rPr>
        <w:t>Ranggayanan</w:t>
      </w:r>
      <w:proofErr w:type="spellEnd"/>
      <w:r w:rsidR="009250A6">
        <w:rPr>
          <w:vertAlign w:val="superscript"/>
          <w:lang w:val="en-GB"/>
        </w:rPr>
        <w:t>1</w:t>
      </w:r>
      <w:r w:rsidR="00AD0645">
        <w:rPr>
          <w:vertAlign w:val="superscript"/>
          <w:lang w:val="en-GB"/>
        </w:rPr>
        <w:t xml:space="preserve"> </w:t>
      </w:r>
      <w:r w:rsidR="00AD0645">
        <w:rPr>
          <w:lang w:val="en-GB"/>
        </w:rPr>
        <w:t>,</w:t>
      </w:r>
      <w:proofErr w:type="gramEnd"/>
      <w:r w:rsidR="00AD0645">
        <w:rPr>
          <w:lang w:val="en-GB"/>
        </w:rPr>
        <w:t xml:space="preserve"> </w:t>
      </w:r>
      <w:proofErr w:type="spellStart"/>
      <w:r w:rsidRPr="004B363E">
        <w:rPr>
          <w:rFonts w:ascii="Times New Roman" w:eastAsia="Aptos" w:hAnsi="Times New Roman"/>
          <w:bCs/>
          <w:kern w:val="2"/>
          <w14:ligatures w14:val="standardContextual"/>
        </w:rPr>
        <w:t>Evy</w:t>
      </w:r>
      <w:proofErr w:type="spellEnd"/>
      <w:r w:rsidRPr="004B363E">
        <w:rPr>
          <w:rFonts w:ascii="Times New Roman" w:eastAsia="Aptos" w:hAnsi="Times New Roman"/>
          <w:bCs/>
          <w:kern w:val="2"/>
          <w14:ligatures w14:val="standardContextual"/>
        </w:rPr>
        <w:t xml:space="preserve"> </w:t>
      </w:r>
      <w:proofErr w:type="spellStart"/>
      <w:r w:rsidRPr="004B363E">
        <w:rPr>
          <w:rFonts w:ascii="Times New Roman" w:eastAsia="Aptos" w:hAnsi="Times New Roman"/>
          <w:bCs/>
          <w:kern w:val="2"/>
          <w14:ligatures w14:val="standardContextual"/>
        </w:rPr>
        <w:t>Lalan</w:t>
      </w:r>
      <w:proofErr w:type="spellEnd"/>
      <w:r w:rsidRPr="004B363E">
        <w:rPr>
          <w:rFonts w:ascii="Times New Roman" w:eastAsia="Aptos" w:hAnsi="Times New Roman"/>
          <w:bCs/>
          <w:kern w:val="2"/>
          <w14:ligatures w14:val="standardContextual"/>
        </w:rPr>
        <w:t xml:space="preserve"> Langi'</w:t>
      </w:r>
      <w:r w:rsidRPr="004B363E">
        <w:rPr>
          <w:rFonts w:ascii="Times New Roman" w:eastAsia="Aptos" w:hAnsi="Times New Roman"/>
          <w:bCs/>
          <w:kern w:val="2"/>
          <w:vertAlign w:val="superscript"/>
          <w14:ligatures w14:val="standardContextual"/>
        </w:rPr>
        <w:t>2</w:t>
      </w:r>
      <w:r>
        <w:rPr>
          <w:rFonts w:ascii="Times New Roman" w:eastAsia="Aptos" w:hAnsi="Times New Roman"/>
          <w:bCs/>
          <w:kern w:val="2"/>
          <w14:ligatures w14:val="standardContextual"/>
        </w:rPr>
        <w:t xml:space="preserve">,Suri </w:t>
      </w:r>
      <w:proofErr w:type="spellStart"/>
      <w:r>
        <w:rPr>
          <w:rFonts w:ascii="Times New Roman" w:eastAsia="Aptos" w:hAnsi="Times New Roman"/>
          <w:bCs/>
          <w:kern w:val="2"/>
          <w14:ligatures w14:val="standardContextual"/>
        </w:rPr>
        <w:t>Toding</w:t>
      </w:r>
      <w:proofErr w:type="spellEnd"/>
      <w:r>
        <w:rPr>
          <w:rFonts w:ascii="Times New Roman" w:eastAsia="Aptos" w:hAnsi="Times New Roman"/>
          <w:bCs/>
          <w:kern w:val="2"/>
          <w14:ligatures w14:val="standardContextual"/>
        </w:rPr>
        <w:t xml:space="preserve"> Lembang</w:t>
      </w:r>
      <w:r>
        <w:rPr>
          <w:rFonts w:ascii="Times New Roman" w:eastAsia="Aptos" w:hAnsi="Times New Roman"/>
          <w:bCs/>
          <w:kern w:val="2"/>
          <w:vertAlign w:val="superscript"/>
          <w14:ligatures w14:val="standardContextual"/>
        </w:rPr>
        <w:t>3</w:t>
      </w:r>
    </w:p>
    <w:p w:rsidR="008E64A2" w:rsidRPr="00AD0645"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proofErr w:type="spellStart"/>
      <w:r w:rsidR="00AD0645" w:rsidRPr="00AD0645">
        <w:rPr>
          <w:color w:val="auto"/>
          <w:lang w:val="en-GB"/>
        </w:rPr>
        <w:t>Universitas</w:t>
      </w:r>
      <w:proofErr w:type="spellEnd"/>
      <w:r w:rsidR="00AD0645" w:rsidRPr="00AD0645">
        <w:rPr>
          <w:color w:val="auto"/>
          <w:lang w:val="en-GB"/>
        </w:rPr>
        <w:t xml:space="preserve"> Kristen Indonesia </w:t>
      </w:r>
      <w:proofErr w:type="spellStart"/>
      <w:r w:rsidR="00AD0645" w:rsidRPr="00AD0645">
        <w:rPr>
          <w:color w:val="auto"/>
          <w:lang w:val="en-GB"/>
        </w:rPr>
        <w:t>Toraja</w:t>
      </w:r>
      <w:proofErr w:type="spellEnd"/>
      <w:r w:rsidR="00AD0645" w:rsidRPr="00AD0645">
        <w:rPr>
          <w:color w:val="auto"/>
          <w:lang w:val="en-GB"/>
        </w:rPr>
        <w:t xml:space="preserve">; </w:t>
      </w:r>
      <w:hyperlink r:id="rId9" w:history="1">
        <w:r w:rsidR="004B363E" w:rsidRPr="007F374B">
          <w:rPr>
            <w:rStyle w:val="Hyperlink"/>
            <w:lang w:val="en-GB"/>
          </w:rPr>
          <w:t>mangacheisar97@gmail.com</w:t>
        </w:r>
      </w:hyperlink>
      <w:r w:rsidR="004B363E">
        <w:rPr>
          <w:lang w:val="en-GB"/>
        </w:rPr>
        <w:t xml:space="preserve"> </w:t>
      </w:r>
      <w:r w:rsidR="009250A6">
        <w:rPr>
          <w:color w:val="auto"/>
          <w:lang w:val="en-GB"/>
        </w:rPr>
        <w:t xml:space="preserve"> </w:t>
      </w:r>
    </w:p>
    <w:p w:rsidR="00B72F3D" w:rsidRPr="00AD0645" w:rsidRDefault="00B72F3D" w:rsidP="00784B9B">
      <w:pPr>
        <w:pStyle w:val="Alishlah16affiliation"/>
        <w:rPr>
          <w:color w:val="auto"/>
          <w:lang w:val="en-GB"/>
        </w:rPr>
      </w:pPr>
      <w:r w:rsidRPr="00AD0645">
        <w:rPr>
          <w:color w:val="auto"/>
          <w:vertAlign w:val="superscript"/>
          <w:lang w:val="en-GB"/>
        </w:rPr>
        <w:t>2</w:t>
      </w:r>
      <w:r w:rsidRPr="00AD0645">
        <w:rPr>
          <w:color w:val="auto"/>
          <w:lang w:val="en-GB"/>
        </w:rPr>
        <w:tab/>
      </w:r>
      <w:proofErr w:type="spellStart"/>
      <w:r w:rsidR="00AD0645" w:rsidRPr="00AD0645">
        <w:rPr>
          <w:color w:val="auto"/>
          <w:lang w:val="en-GB"/>
        </w:rPr>
        <w:t>Universitas</w:t>
      </w:r>
      <w:proofErr w:type="spellEnd"/>
      <w:r w:rsidR="00AD0645" w:rsidRPr="00AD0645">
        <w:rPr>
          <w:color w:val="auto"/>
          <w:lang w:val="en-GB"/>
        </w:rPr>
        <w:t xml:space="preserve"> Kristen Indonesia </w:t>
      </w:r>
      <w:proofErr w:type="spellStart"/>
      <w:proofErr w:type="gramStart"/>
      <w:r w:rsidR="00AD0645" w:rsidRPr="00AD0645">
        <w:rPr>
          <w:color w:val="auto"/>
          <w:lang w:val="en-GB"/>
        </w:rPr>
        <w:t>Toraja</w:t>
      </w:r>
      <w:proofErr w:type="spellEnd"/>
      <w:r w:rsidR="00AD0645" w:rsidRPr="00AD0645">
        <w:rPr>
          <w:color w:val="auto"/>
          <w:lang w:val="en-GB"/>
        </w:rPr>
        <w:t xml:space="preserve"> ;</w:t>
      </w:r>
      <w:proofErr w:type="gramEnd"/>
      <w:r w:rsidR="00AD0645" w:rsidRPr="00AD0645">
        <w:rPr>
          <w:color w:val="auto"/>
          <w:lang w:val="en-GB"/>
        </w:rPr>
        <w:t xml:space="preserve"> </w:t>
      </w:r>
      <w:hyperlink r:id="rId10" w:history="1">
        <w:r w:rsidR="004B363E" w:rsidRPr="004B363E">
          <w:rPr>
            <w:rFonts w:ascii="Poor Richard" w:eastAsia="SimSun" w:hAnsi="Poor Richard" w:cs="Arial"/>
            <w:color w:val="0563C1"/>
            <w:sz w:val="22"/>
            <w:szCs w:val="22"/>
            <w:u w:val="single"/>
            <w:lang w:val="en-GB" w:eastAsia="en-US" w:bidi="ar-SA"/>
          </w:rPr>
          <w:t>evylalanlangi@ukitoraja.ac.id</w:t>
        </w:r>
      </w:hyperlink>
      <w:r w:rsidR="009250A6">
        <w:t xml:space="preserve"> </w:t>
      </w:r>
      <w:r w:rsidR="004B363E">
        <w:t xml:space="preserve"> </w:t>
      </w:r>
    </w:p>
    <w:p w:rsidR="00C131D0" w:rsidRDefault="00C131D0" w:rsidP="00AD0645">
      <w:pPr>
        <w:spacing w:before="3" w:line="240" w:lineRule="auto"/>
        <w:ind w:right="1422"/>
        <w:rPr>
          <w:rFonts w:ascii="Palatino Linotype" w:eastAsia="Times New Roman" w:hAnsi="Palatino Linotype" w:cs="Times New Roman"/>
          <w:i/>
          <w:color w:val="0000FF"/>
          <w:spacing w:val="-2"/>
          <w:sz w:val="18"/>
          <w:szCs w:val="18"/>
          <w:u w:val="single"/>
          <w:lang w:val="en-US"/>
        </w:rPr>
      </w:pPr>
      <w:r>
        <w:rPr>
          <w:rFonts w:ascii="Palatino Linotype" w:hAnsi="Palatino Linotype"/>
          <w:sz w:val="18"/>
          <w:szCs w:val="18"/>
          <w:vertAlign w:val="superscript"/>
          <w:lang w:val="en-GB"/>
        </w:rPr>
        <w:t xml:space="preserve">  </w:t>
      </w:r>
      <w:r w:rsidR="00AD0645" w:rsidRPr="00AD0645">
        <w:rPr>
          <w:rFonts w:ascii="Palatino Linotype" w:hAnsi="Palatino Linotype"/>
          <w:sz w:val="18"/>
          <w:szCs w:val="18"/>
          <w:vertAlign w:val="superscript"/>
          <w:lang w:val="en-GB"/>
        </w:rPr>
        <w:t xml:space="preserve">3 </w:t>
      </w:r>
      <w:r>
        <w:rPr>
          <w:rFonts w:ascii="Palatino Linotype" w:hAnsi="Palatino Linotype"/>
          <w:sz w:val="18"/>
          <w:szCs w:val="18"/>
          <w:vertAlign w:val="superscript"/>
          <w:lang w:val="en-GB"/>
        </w:rPr>
        <w:t xml:space="preserve">      </w:t>
      </w:r>
      <w:proofErr w:type="spellStart"/>
      <w:r w:rsidR="00AD0645" w:rsidRPr="00AD0645">
        <w:rPr>
          <w:rFonts w:ascii="Palatino Linotype" w:hAnsi="Palatino Linotype"/>
          <w:sz w:val="18"/>
          <w:szCs w:val="18"/>
          <w:lang w:val="en-GB"/>
        </w:rPr>
        <w:t>Universitas</w:t>
      </w:r>
      <w:proofErr w:type="spellEnd"/>
      <w:r w:rsidR="00AD0645" w:rsidRPr="00AD0645">
        <w:rPr>
          <w:rFonts w:ascii="Palatino Linotype" w:hAnsi="Palatino Linotype"/>
          <w:sz w:val="18"/>
          <w:szCs w:val="18"/>
          <w:lang w:val="en-GB"/>
        </w:rPr>
        <w:t xml:space="preserve"> Kristen Indonesia </w:t>
      </w:r>
      <w:proofErr w:type="spellStart"/>
      <w:r w:rsidR="00AD0645" w:rsidRPr="00AD0645">
        <w:rPr>
          <w:rFonts w:ascii="Palatino Linotype" w:hAnsi="Palatino Linotype"/>
          <w:sz w:val="18"/>
          <w:szCs w:val="18"/>
          <w:lang w:val="en-GB"/>
        </w:rPr>
        <w:t>Toraja</w:t>
      </w:r>
      <w:proofErr w:type="spellEnd"/>
      <w:r w:rsidR="00AD0645" w:rsidRPr="00AD0645">
        <w:rPr>
          <w:rFonts w:ascii="Palatino Linotype" w:hAnsi="Palatino Linotype"/>
          <w:sz w:val="18"/>
          <w:szCs w:val="18"/>
          <w:lang w:val="en-GB"/>
        </w:rPr>
        <w:t>;</w:t>
      </w:r>
      <w:r w:rsidR="00AD0645" w:rsidRPr="009250A6">
        <w:rPr>
          <w:rFonts w:ascii="Palatino Linotype" w:hAnsi="Palatino Linotype"/>
          <w:sz w:val="18"/>
          <w:szCs w:val="18"/>
          <w:lang w:val="en-GB"/>
        </w:rPr>
        <w:t xml:space="preserve"> </w:t>
      </w:r>
      <w:hyperlink r:id="rId11" w:history="1">
        <w:r w:rsidR="004B363E" w:rsidRPr="007F374B">
          <w:rPr>
            <w:rStyle w:val="Hyperlink"/>
            <w:rFonts w:ascii="Palatino Linotype" w:eastAsia="Times New Roman" w:hAnsi="Palatino Linotype" w:cs="Times New Roman"/>
            <w:spacing w:val="-2"/>
            <w:sz w:val="18"/>
            <w:szCs w:val="18"/>
            <w:lang w:val="en-US"/>
          </w:rPr>
          <w:t>karitutusuri@gmail.com</w:t>
        </w:r>
      </w:hyperlink>
      <w:r w:rsidR="004B363E">
        <w:rPr>
          <w:rFonts w:ascii="Palatino Linotype" w:eastAsia="Times New Roman" w:hAnsi="Palatino Linotype" w:cs="Times New Roman"/>
          <w:color w:val="0000FF"/>
          <w:spacing w:val="-2"/>
          <w:sz w:val="18"/>
          <w:szCs w:val="18"/>
          <w:u w:val="single"/>
          <w:lang w:val="en-US"/>
        </w:rPr>
        <w:t xml:space="preserve"> </w:t>
      </w:r>
    </w:p>
    <w:p w:rsidR="00AD0645" w:rsidRPr="00AD0645" w:rsidRDefault="00AD0645" w:rsidP="004B363E">
      <w:pPr>
        <w:pStyle w:val="Alishlah16affiliation"/>
        <w:ind w:left="0" w:firstLine="0"/>
        <w:rPr>
          <w:color w:val="auto"/>
          <w:lang w:val="en-GB"/>
        </w:rPr>
      </w:pPr>
      <w:bookmarkStart w:id="0" w:name="_GoBack"/>
      <w:bookmarkEnd w:id="0"/>
    </w:p>
    <w:p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rsidR="004B363E" w:rsidRPr="004B363E" w:rsidRDefault="004B363E" w:rsidP="00AD0645">
            <w:pPr>
              <w:rPr>
                <w:rFonts w:ascii="Palatino Linotype" w:hAnsi="Palatino Linotype"/>
                <w:lang w:eastAsia="de-DE" w:bidi="en-US"/>
              </w:rPr>
            </w:pPr>
            <w:r w:rsidRPr="004B363E">
              <w:rPr>
                <w:rFonts w:ascii="Palatino Linotype" w:hAnsi="Palatino Linotype"/>
                <w:lang w:eastAsia="de-DE" w:bidi="en-US"/>
              </w:rPr>
              <w:t>Geometry;</w:t>
            </w:r>
          </w:p>
          <w:p w:rsidR="004B363E" w:rsidRPr="004B363E" w:rsidRDefault="004B363E" w:rsidP="00AD0645">
            <w:pPr>
              <w:rPr>
                <w:rFonts w:ascii="Palatino Linotype" w:hAnsi="Palatino Linotype"/>
                <w:lang w:eastAsia="de-DE" w:bidi="en-US"/>
              </w:rPr>
            </w:pPr>
            <w:r w:rsidRPr="004B363E">
              <w:rPr>
                <w:rFonts w:ascii="Palatino Linotype" w:hAnsi="Palatino Linotype"/>
                <w:lang w:eastAsia="de-DE" w:bidi="en-US"/>
              </w:rPr>
              <w:t>Artificial Intelligence;</w:t>
            </w:r>
          </w:p>
          <w:p w:rsidR="004B363E" w:rsidRPr="004B363E" w:rsidRDefault="004B363E" w:rsidP="00AD0645">
            <w:pPr>
              <w:rPr>
                <w:rFonts w:ascii="Palatino Linotype" w:hAnsi="Palatino Linotype"/>
                <w:lang w:eastAsia="de-DE" w:bidi="en-US"/>
              </w:rPr>
            </w:pPr>
            <w:r w:rsidRPr="004B363E">
              <w:rPr>
                <w:rFonts w:ascii="Palatino Linotype" w:hAnsi="Palatino Linotype"/>
                <w:lang w:eastAsia="de-DE" w:bidi="en-US"/>
              </w:rPr>
              <w:t>Challenges ;</w:t>
            </w:r>
          </w:p>
          <w:p w:rsidR="00AD0645" w:rsidRPr="004B363E" w:rsidRDefault="004B363E" w:rsidP="00AD0645">
            <w:pPr>
              <w:rPr>
                <w:rFonts w:ascii="Palatino Linotype" w:hAnsi="Palatino Linotype"/>
                <w:lang w:eastAsia="de-DE" w:bidi="en-US"/>
              </w:rPr>
            </w:pPr>
            <w:r w:rsidRPr="004B363E">
              <w:rPr>
                <w:rFonts w:ascii="Palatino Linotype" w:hAnsi="Palatino Linotype"/>
                <w:lang w:eastAsia="de-DE" w:bidi="en-US"/>
              </w:rPr>
              <w:t xml:space="preserve"> Expectations.</w:t>
            </w:r>
          </w:p>
          <w:p w:rsidR="0048254D" w:rsidRPr="0048254D" w:rsidRDefault="0048254D" w:rsidP="00AD0645">
            <w:pPr>
              <w:pStyle w:val="Alishlah18keywords"/>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4B363E" w:rsidRPr="004B363E" w:rsidRDefault="004B363E" w:rsidP="004B363E">
            <w:pPr>
              <w:spacing w:before="100" w:beforeAutospacing="1" w:after="100" w:afterAutospacing="1" w:line="276" w:lineRule="auto"/>
              <w:contextualSpacing/>
              <w:jc w:val="both"/>
              <w:rPr>
                <w:rFonts w:ascii="Palatino Linotype" w:eastAsia="Times New Roman" w:hAnsi="Palatino Linotype" w:cs="Times New Roman"/>
                <w:iCs/>
              </w:rPr>
            </w:pPr>
            <w:r w:rsidRPr="004B363E">
              <w:rPr>
                <w:rFonts w:ascii="Palatino Linotype" w:eastAsia="Times New Roman" w:hAnsi="Palatino Linotype" w:cs="Times New Roman"/>
                <w:iCs/>
              </w:rPr>
              <w:t xml:space="preserve">This study aims to explore the challenges, readiness, and expectations of mathematics teachers towards Artificial Intelligence-based geometry learning in junior high schools. The approach used is qualitative with an exploratory phenomenological design. The research subjects consisted of junior high school mathematics teachers in </w:t>
            </w:r>
            <w:proofErr w:type="spellStart"/>
            <w:r w:rsidRPr="004B363E">
              <w:rPr>
                <w:rFonts w:ascii="Palatino Linotype" w:eastAsia="Times New Roman" w:hAnsi="Palatino Linotype" w:cs="Times New Roman"/>
                <w:iCs/>
              </w:rPr>
              <w:t>Tana</w:t>
            </w:r>
            <w:proofErr w:type="spellEnd"/>
            <w:r w:rsidRPr="004B363E">
              <w:rPr>
                <w:rFonts w:ascii="Palatino Linotype" w:eastAsia="Times New Roman" w:hAnsi="Palatino Linotype" w:cs="Times New Roman"/>
                <w:iCs/>
              </w:rPr>
              <w:t xml:space="preserve"> </w:t>
            </w:r>
            <w:proofErr w:type="spellStart"/>
            <w:r w:rsidRPr="004B363E">
              <w:rPr>
                <w:rFonts w:ascii="Palatino Linotype" w:eastAsia="Times New Roman" w:hAnsi="Palatino Linotype" w:cs="Times New Roman"/>
                <w:iCs/>
              </w:rPr>
              <w:t>Toraja</w:t>
            </w:r>
            <w:proofErr w:type="spellEnd"/>
            <w:r w:rsidRPr="004B363E">
              <w:rPr>
                <w:rFonts w:ascii="Palatino Linotype" w:eastAsia="Times New Roman" w:hAnsi="Palatino Linotype" w:cs="Times New Roman"/>
                <w:iCs/>
              </w:rPr>
              <w:t xml:space="preserve"> Regency who </w:t>
            </w:r>
            <w:proofErr w:type="gramStart"/>
            <w:r w:rsidRPr="004B363E">
              <w:rPr>
                <w:rFonts w:ascii="Palatino Linotype" w:eastAsia="Times New Roman" w:hAnsi="Palatino Linotype" w:cs="Times New Roman"/>
                <w:iCs/>
              </w:rPr>
              <w:t>were</w:t>
            </w:r>
            <w:proofErr w:type="gramEnd"/>
            <w:r w:rsidRPr="004B363E">
              <w:rPr>
                <w:rFonts w:ascii="Palatino Linotype" w:eastAsia="Times New Roman" w:hAnsi="Palatino Linotype" w:cs="Times New Roman"/>
                <w:iCs/>
              </w:rPr>
              <w:t xml:space="preserve"> selected through purposive sampling techniques. Data were obtained through in-depth interviews, non-participatory observations, and documentation studies, </w:t>
            </w:r>
            <w:proofErr w:type="gramStart"/>
            <w:r w:rsidRPr="004B363E">
              <w:rPr>
                <w:rFonts w:ascii="Palatino Linotype" w:eastAsia="Times New Roman" w:hAnsi="Palatino Linotype" w:cs="Times New Roman"/>
                <w:iCs/>
              </w:rPr>
              <w:t>then</w:t>
            </w:r>
            <w:proofErr w:type="gramEnd"/>
            <w:r w:rsidRPr="004B363E">
              <w:rPr>
                <w:rFonts w:ascii="Palatino Linotype" w:eastAsia="Times New Roman" w:hAnsi="Palatino Linotype" w:cs="Times New Roman"/>
                <w:iCs/>
              </w:rPr>
              <w:t xml:space="preserve"> analyzed using thematic analysis. The results of the study show that teachers have a positive perception of the application of AI because it is considered to be able to increase students' understanding and motivation to learn. However, limited facilities, digital infrastructure, and technological competence are the main obstacles. Teachers hope that there will be training and institutional support so that the integration of AI in learning can be carried out effectively and sustainably.</w:t>
            </w:r>
          </w:p>
          <w:p w:rsidR="0048254D" w:rsidRPr="00E45249" w:rsidRDefault="0048254D" w:rsidP="00E45249">
            <w:pPr>
              <w:pStyle w:val="Alishlah17abstract"/>
            </w:pP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 xml:space="preserve">Received </w:t>
            </w:r>
            <w:r w:rsidR="00FA43FF" w:rsidRPr="00FA43FF">
              <w:t>2021-08-14</w:t>
            </w:r>
          </w:p>
          <w:p w:rsidR="0048254D" w:rsidRPr="006A6719" w:rsidRDefault="0048254D" w:rsidP="00E45249">
            <w:pPr>
              <w:pStyle w:val="Alishlah14history"/>
            </w:pPr>
            <w:r w:rsidRPr="006A6719">
              <w:t xml:space="preserve">Revised </w:t>
            </w:r>
            <w:r w:rsidR="00675603" w:rsidRPr="006A6719">
              <w:tab/>
            </w:r>
            <w:r w:rsidR="00FA43FF" w:rsidRPr="00FA43FF">
              <w:t>2021-11-12</w:t>
            </w:r>
          </w:p>
          <w:p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2"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4047706" wp14:editId="3A56C47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B363E">
        <w:trPr>
          <w:trHeight w:val="301"/>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1" w:name="_Hlk97159440"/>
            <w:r w:rsidRPr="00E45249">
              <w:rPr>
                <w:b/>
                <w:bCs/>
              </w:rPr>
              <w:t>Corresponding Author</w:t>
            </w:r>
            <w:bookmarkEnd w:id="1"/>
            <w:r w:rsidRPr="00E45249">
              <w:rPr>
                <w:b/>
                <w:bCs/>
              </w:rPr>
              <w:t>:</w:t>
            </w:r>
          </w:p>
          <w:p w:rsidR="004B363E" w:rsidRDefault="004B363E" w:rsidP="00AD0645">
            <w:pPr>
              <w:pStyle w:val="Alishlah2authorcorrespondence"/>
              <w:rPr>
                <w:color w:val="auto"/>
                <w:lang w:val="en-GB"/>
              </w:rPr>
            </w:pPr>
            <w:proofErr w:type="spellStart"/>
            <w:r>
              <w:rPr>
                <w:rFonts w:ascii="Times New Roman" w:eastAsia="Aptos" w:hAnsi="Times New Roman"/>
                <w:bCs/>
                <w:kern w:val="2"/>
                <w14:ligatures w14:val="standardContextual"/>
              </w:rPr>
              <w:t>Cheisar</w:t>
            </w:r>
            <w:proofErr w:type="spellEnd"/>
            <w:r>
              <w:rPr>
                <w:rFonts w:ascii="Times New Roman" w:eastAsia="Aptos" w:hAnsi="Times New Roman"/>
                <w:bCs/>
                <w:kern w:val="2"/>
                <w14:ligatures w14:val="standardContextual"/>
              </w:rPr>
              <w:t xml:space="preserve"> Manga </w:t>
            </w:r>
            <w:proofErr w:type="spellStart"/>
            <w:r>
              <w:rPr>
                <w:rFonts w:ascii="Times New Roman" w:eastAsia="Aptos" w:hAnsi="Times New Roman"/>
                <w:bCs/>
                <w:kern w:val="2"/>
                <w14:ligatures w14:val="standardContextual"/>
              </w:rPr>
              <w:t>Ranggayanan</w:t>
            </w:r>
            <w:proofErr w:type="spellEnd"/>
          </w:p>
          <w:p w:rsidR="0048254D" w:rsidRPr="0048254D" w:rsidRDefault="00AD0645" w:rsidP="004B363E">
            <w:pPr>
              <w:pStyle w:val="Alishlah2authorcorrespondence"/>
            </w:pPr>
            <w:proofErr w:type="spellStart"/>
            <w:r>
              <w:rPr>
                <w:color w:val="auto"/>
                <w:lang w:val="en-GB"/>
              </w:rPr>
              <w:t>Universitas</w:t>
            </w:r>
            <w:proofErr w:type="spellEnd"/>
            <w:r>
              <w:rPr>
                <w:color w:val="auto"/>
                <w:lang w:val="en-GB"/>
              </w:rPr>
              <w:t xml:space="preserve"> Kristen Indonesia </w:t>
            </w:r>
            <w:proofErr w:type="spellStart"/>
            <w:r>
              <w:rPr>
                <w:color w:val="auto"/>
                <w:lang w:val="en-GB"/>
              </w:rPr>
              <w:t>Toraja</w:t>
            </w:r>
            <w:proofErr w:type="spellEnd"/>
            <w:r>
              <w:rPr>
                <w:color w:val="auto"/>
                <w:lang w:val="en-GB"/>
              </w:rPr>
              <w:t xml:space="preserve"> ; </w:t>
            </w:r>
            <w:hyperlink r:id="rId14" w:history="1">
              <w:r w:rsidR="004B363E" w:rsidRPr="007F374B">
                <w:rPr>
                  <w:rStyle w:val="Hyperlink"/>
                  <w:lang w:val="en-GB"/>
                </w:rPr>
                <w:t>mangacheisar97@gmail.com</w:t>
              </w:r>
            </w:hyperlink>
          </w:p>
        </w:tc>
      </w:tr>
    </w:tbl>
    <w:p w:rsidR="0068612B" w:rsidRDefault="0048254D" w:rsidP="0068612B">
      <w:pPr>
        <w:pStyle w:val="Alishlah21heading1"/>
        <w:rPr>
          <w:lang w:val="en-GB"/>
        </w:rPr>
      </w:pPr>
      <w:r w:rsidRPr="00A75CB1">
        <w:rPr>
          <w:lang w:val="en-GB"/>
        </w:rPr>
        <w:t>INTRODUCTION</w:t>
      </w:r>
    </w:p>
    <w:p w:rsidR="004B363E" w:rsidRPr="004B363E" w:rsidRDefault="004B363E" w:rsidP="004B363E">
      <w:pPr>
        <w:pStyle w:val="Alishlah21heading1"/>
        <w:numPr>
          <w:ilvl w:val="0"/>
          <w:numId w:val="0"/>
        </w:numPr>
        <w:ind w:left="426"/>
        <w:jc w:val="both"/>
        <w:rPr>
          <w:b w:val="0"/>
          <w:lang w:val="en-GB"/>
        </w:rPr>
      </w:pPr>
      <w:r w:rsidRPr="004B363E">
        <w:rPr>
          <w:b w:val="0"/>
          <w:lang w:val="en-GB"/>
        </w:rPr>
        <w:t xml:space="preserve">Geometry learning at the junior high school level still faces various obstacles in fostering spatial thinking skills and spatial visualization skills in students. Most learners have difficulty in associating two-dimensional shapes with three-dimensional representations and understanding geometric transformations conceptually. This difficulty arises because the learning process tends </w:t>
      </w:r>
      <w:r w:rsidRPr="004B363E">
        <w:rPr>
          <w:b w:val="0"/>
          <w:lang w:val="en-GB"/>
        </w:rPr>
        <w:lastRenderedPageBreak/>
        <w:t xml:space="preserve">to be abstract and </w:t>
      </w:r>
      <w:proofErr w:type="spellStart"/>
      <w:r w:rsidRPr="004B363E">
        <w:rPr>
          <w:b w:val="0"/>
          <w:lang w:val="en-GB"/>
        </w:rPr>
        <w:t>centered</w:t>
      </w:r>
      <w:proofErr w:type="spellEnd"/>
      <w:r w:rsidRPr="004B363E">
        <w:rPr>
          <w:b w:val="0"/>
          <w:lang w:val="en-GB"/>
        </w:rPr>
        <w:t xml:space="preserve"> on the role of the teacher, so that students do not get optimal opportunities to build their own </w:t>
      </w:r>
      <w:proofErr w:type="gramStart"/>
      <w:r w:rsidRPr="004B363E">
        <w:rPr>
          <w:b w:val="0"/>
          <w:lang w:val="en-GB"/>
        </w:rPr>
        <w:t>knowledge .</w:t>
      </w:r>
      <w:proofErr w:type="gramEnd"/>
      <w:r w:rsidRPr="004B363E">
        <w:rPr>
          <w:b w:val="0"/>
          <w:lang w:val="en-GB"/>
        </w:rPr>
        <w:t xml:space="preserve"> This situation emphasizes the need for a more interactive, contextual, and real-experience learning approach so that students can construct geometric understanding independently.   (Putra &amp; </w:t>
      </w:r>
      <w:proofErr w:type="spellStart"/>
      <w:r w:rsidRPr="004B363E">
        <w:rPr>
          <w:b w:val="0"/>
          <w:lang w:val="en-GB"/>
        </w:rPr>
        <w:t>Ramadhani</w:t>
      </w:r>
      <w:proofErr w:type="spellEnd"/>
      <w:r w:rsidRPr="004B363E">
        <w:rPr>
          <w:b w:val="0"/>
          <w:lang w:val="en-GB"/>
        </w:rPr>
        <w:t xml:space="preserve">, 2022) Conventional approaches such as lectures and exercises on the whiteboard have proven to be not significant in improving an in-depth understanding of geometry concepts. The learning media used is generally passive and has not been adjusted to the needs and diverse learning styles. According </w:t>
      </w:r>
      <w:proofErr w:type="gramStart"/>
      <w:r w:rsidRPr="004B363E">
        <w:rPr>
          <w:b w:val="0"/>
          <w:lang w:val="en-GB"/>
        </w:rPr>
        <w:t>to ,</w:t>
      </w:r>
      <w:proofErr w:type="gramEnd"/>
      <w:r w:rsidRPr="004B363E">
        <w:rPr>
          <w:b w:val="0"/>
          <w:lang w:val="en-GB"/>
        </w:rPr>
        <w:t xml:space="preserve"> students with low spatial ability need visual and interactive methods in order to be able to understand the relationship between the elements of building space concretely. Therefore, adaptive learning innovations are needed by integrating elements of visualization and interactivity in the learning process, especially through the use of artificial intelligence-based digital technology.   </w:t>
      </w:r>
      <w:proofErr w:type="gramStart"/>
      <w:r w:rsidRPr="004B363E">
        <w:rPr>
          <w:b w:val="0"/>
          <w:lang w:val="en-GB"/>
        </w:rPr>
        <w:t>(</w:t>
      </w:r>
      <w:proofErr w:type="spellStart"/>
      <w:r w:rsidRPr="004B363E">
        <w:rPr>
          <w:b w:val="0"/>
          <w:lang w:val="en-GB"/>
        </w:rPr>
        <w:t>Riyanto</w:t>
      </w:r>
      <w:proofErr w:type="spellEnd"/>
      <w:r w:rsidRPr="004B363E">
        <w:rPr>
          <w:b w:val="0"/>
          <w:lang w:val="en-GB"/>
        </w:rPr>
        <w:t xml:space="preserve">     et al.</w:t>
      </w:r>
      <w:proofErr w:type="gramEnd"/>
      <w:r w:rsidRPr="004B363E">
        <w:rPr>
          <w:b w:val="0"/>
          <w:lang w:val="en-GB"/>
        </w:rPr>
        <w:t xml:space="preserve">    , 2023</w:t>
      </w:r>
      <w:proofErr w:type="gramStart"/>
      <w:r w:rsidRPr="004B363E">
        <w:rPr>
          <w:b w:val="0"/>
          <w:lang w:val="en-GB"/>
        </w:rPr>
        <w:t xml:space="preserve">) </w:t>
      </w:r>
      <w:r w:rsidRPr="004B363E">
        <w:rPr>
          <w:b w:val="0"/>
          <w:lang w:val="en-GB"/>
        </w:rPr>
        <w:t xml:space="preserve"> </w:t>
      </w:r>
      <w:r w:rsidRPr="004B363E">
        <w:rPr>
          <w:b w:val="0"/>
          <w:lang w:val="en-GB"/>
        </w:rPr>
        <w:t>Advances</w:t>
      </w:r>
      <w:proofErr w:type="gramEnd"/>
      <w:r w:rsidRPr="004B363E">
        <w:rPr>
          <w:b w:val="0"/>
          <w:lang w:val="en-GB"/>
        </w:rPr>
        <w:t xml:space="preserve"> in AI technology provide a great opportunity to overcome these obstacles by presenting a learning system that is personalized and adaptive. This technology allows for automatic feedback, adjustment of difficulty levels according to students' abilities, and the provision of interactive three-dimensional visualizations. Hwang and Chang (2021) stated that the application of AI in mathematics learning can increase student motivation and engagement as learning experiences become more responsive to individual needs. However, the application of this technology in secondary schools in Indonesia is still limited. Many mathematics teachers show interest in the use of AI, but are still constrained by technical competence and lack of institutional support in the integration process.   (</w:t>
      </w:r>
      <w:proofErr w:type="spellStart"/>
      <w:r w:rsidRPr="004B363E">
        <w:rPr>
          <w:b w:val="0"/>
          <w:lang w:val="en-GB"/>
        </w:rPr>
        <w:t>Suharsono</w:t>
      </w:r>
      <w:proofErr w:type="spellEnd"/>
      <w:r w:rsidRPr="004B363E">
        <w:rPr>
          <w:b w:val="0"/>
          <w:lang w:val="en-GB"/>
        </w:rPr>
        <w:t xml:space="preserve"> &amp; </w:t>
      </w:r>
      <w:proofErr w:type="spellStart"/>
      <w:r w:rsidRPr="004B363E">
        <w:rPr>
          <w:b w:val="0"/>
          <w:lang w:val="en-GB"/>
        </w:rPr>
        <w:t>Ningsih</w:t>
      </w:r>
      <w:proofErr w:type="spellEnd"/>
      <w:r w:rsidRPr="004B363E">
        <w:rPr>
          <w:b w:val="0"/>
          <w:lang w:val="en-GB"/>
        </w:rPr>
        <w:t xml:space="preserve">, 2024) </w:t>
      </w:r>
      <w:r w:rsidRPr="004B363E">
        <w:rPr>
          <w:b w:val="0"/>
          <w:lang w:val="en-GB"/>
        </w:rPr>
        <w:t xml:space="preserve"> </w:t>
      </w:r>
      <w:r w:rsidRPr="004B363E">
        <w:rPr>
          <w:b w:val="0"/>
          <w:lang w:val="en-GB"/>
        </w:rPr>
        <w:t>This situation shows the need for an in-depth study related to the level of readiness, perception, and needs of teachers in adopting AI-based learning. Obstacles such as limited infrastructure, lack of professional training, and lack of policy support remain major challenges. Meanwhile, national policies through the Independent Curriculum have emphasized the importance of digital transformation and strengthening computational thinking skills. However, it noted that most schools are still in the early stages of adopting smart technology, which shows a gap between policy and implementation on the ground.   (</w:t>
      </w:r>
      <w:proofErr w:type="spellStart"/>
      <w:r w:rsidRPr="004B363E">
        <w:rPr>
          <w:b w:val="0"/>
          <w:lang w:val="en-GB"/>
        </w:rPr>
        <w:t>Rahmawati</w:t>
      </w:r>
      <w:proofErr w:type="spellEnd"/>
      <w:r w:rsidRPr="004B363E">
        <w:rPr>
          <w:b w:val="0"/>
          <w:lang w:val="en-GB"/>
        </w:rPr>
        <w:t xml:space="preserve"> &amp; Sari, 2023)    </w:t>
      </w:r>
      <w:proofErr w:type="spellStart"/>
      <w:r w:rsidRPr="004B363E">
        <w:rPr>
          <w:b w:val="0"/>
          <w:lang w:val="en-GB"/>
        </w:rPr>
        <w:t>Santoso</w:t>
      </w:r>
      <w:proofErr w:type="spellEnd"/>
      <w:r w:rsidRPr="004B363E">
        <w:rPr>
          <w:b w:val="0"/>
          <w:lang w:val="en-GB"/>
        </w:rPr>
        <w:t xml:space="preserve"> &amp; </w:t>
      </w:r>
      <w:proofErr w:type="spellStart"/>
      <w:r w:rsidRPr="004B363E">
        <w:rPr>
          <w:b w:val="0"/>
          <w:lang w:val="en-GB"/>
        </w:rPr>
        <w:t>Utami</w:t>
      </w:r>
      <w:proofErr w:type="spellEnd"/>
      <w:r w:rsidRPr="004B363E">
        <w:rPr>
          <w:b w:val="0"/>
          <w:lang w:val="en-GB"/>
        </w:rPr>
        <w:t xml:space="preserve"> (2022</w:t>
      </w:r>
      <w:proofErr w:type="gramStart"/>
      <w:r w:rsidRPr="004B363E">
        <w:rPr>
          <w:b w:val="0"/>
          <w:lang w:val="en-GB"/>
        </w:rPr>
        <w:t xml:space="preserve">) </w:t>
      </w:r>
      <w:r w:rsidRPr="004B363E">
        <w:rPr>
          <w:b w:val="0"/>
          <w:lang w:val="en-GB"/>
        </w:rPr>
        <w:t xml:space="preserve"> </w:t>
      </w:r>
      <w:r w:rsidRPr="004B363E">
        <w:rPr>
          <w:b w:val="0"/>
          <w:lang w:val="en-GB"/>
        </w:rPr>
        <w:t>Taking</w:t>
      </w:r>
      <w:proofErr w:type="gramEnd"/>
      <w:r w:rsidRPr="004B363E">
        <w:rPr>
          <w:b w:val="0"/>
          <w:lang w:val="en-GB"/>
        </w:rPr>
        <w:t xml:space="preserve"> into account these conditions, this study is intended to examine the challenges, readiness, and expectations of mathematics teachers towards the application of Artificial Intelligence-based geometry learning  at the junior high school level. This research is expected to be able to make a theoretical contribution to the development of the study of AI integration in mathematics education from the perspective of teachers as the main agents of learning innovation. In addition, practically the results of this research can be used as a reference in designing teacher training programs, developing contextual learning models, and formulating policies for the implementation of educational technology that are relevant to the context of Indonesian education in the digital era</w:t>
      </w:r>
      <w:r w:rsidRPr="004B363E">
        <w:rPr>
          <w:b w:val="0"/>
          <w:lang w:val="en-GB"/>
        </w:rPr>
        <w:t>.</w:t>
      </w:r>
    </w:p>
    <w:p w:rsidR="004B363E" w:rsidRPr="004B363E" w:rsidRDefault="005B5AEC" w:rsidP="004B363E">
      <w:pPr>
        <w:pStyle w:val="Alishlah21heading1"/>
        <w:spacing w:line="240" w:lineRule="auto"/>
        <w:ind w:left="426" w:hanging="426"/>
        <w:jc w:val="both"/>
        <w:rPr>
          <w:rFonts w:eastAsia="Aptos"/>
          <w:b w:val="0"/>
          <w:szCs w:val="20"/>
        </w:rPr>
      </w:pPr>
      <w:r w:rsidRPr="004B363E">
        <w:rPr>
          <w:snapToGrid/>
          <w:lang w:val="en-GB"/>
        </w:rPr>
        <w:t xml:space="preserve">METHODS </w:t>
      </w:r>
      <w:r w:rsidR="004B363E" w:rsidRPr="004B363E">
        <w:rPr>
          <w:snapToGrid/>
          <w:lang w:val="en-GB"/>
        </w:rPr>
        <w:br/>
      </w:r>
      <w:r w:rsidR="004B363E" w:rsidRPr="004B363E">
        <w:rPr>
          <w:rFonts w:eastAsia="Aptos"/>
          <w:b w:val="0"/>
          <w:szCs w:val="20"/>
        </w:rPr>
        <w:t xml:space="preserve">This study applies a qualitative approach with an exploratory phenomenological design, which aims to explore in depth the experiences, views, and expectations of mathematics teachers towards the use of </w:t>
      </w:r>
      <w:r w:rsidR="004B363E" w:rsidRPr="004B363E">
        <w:rPr>
          <w:rFonts w:eastAsia="Aptos"/>
          <w:b w:val="0"/>
          <w:i/>
          <w:iCs/>
          <w:szCs w:val="20"/>
        </w:rPr>
        <w:t>Artificial Intelligence</w:t>
      </w:r>
      <w:r w:rsidR="004B363E" w:rsidRPr="004B363E">
        <w:rPr>
          <w:rFonts w:eastAsia="Aptos"/>
          <w:b w:val="0"/>
          <w:szCs w:val="20"/>
        </w:rPr>
        <w:t xml:space="preserve"> in geometry learning. This design was chosen so that the researcher can understand the subjective meaning of the teachers' real experiences without the presence of variable manipulation or experimental treatment. This research is naturalistic and interpretive, with the researcher playing a direct role as the main instrument that collects, interprets, and understands data based on the social and professional context of the participants.</w:t>
      </w:r>
      <w:sdt>
        <w:sdtPr>
          <w:rPr>
            <w:rFonts w:eastAsia="Aptos"/>
            <w:b w:val="0"/>
            <w:szCs w:val="20"/>
          </w:rPr>
          <w:tag w:val="MENDELEY_CITATION_v3_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"/>
          <w:id w:val="1346821184"/>
          <w:placeholder>
            <w:docPart w:val="141C998C52B8440A909B6026AB594F80"/>
          </w:placeholder>
        </w:sdtPr>
        <w:sdtContent>
          <w:r w:rsidR="004B363E" w:rsidRPr="004B363E">
            <w:rPr>
              <w:b w:val="0"/>
              <w:szCs w:val="20"/>
            </w:rPr>
            <w:t xml:space="preserve">   (Creswell &amp; </w:t>
          </w:r>
          <w:proofErr w:type="spellStart"/>
          <w:r w:rsidR="004B363E" w:rsidRPr="004B363E">
            <w:rPr>
              <w:b w:val="0"/>
              <w:szCs w:val="20"/>
            </w:rPr>
            <w:t>Poth</w:t>
          </w:r>
          <w:proofErr w:type="spellEnd"/>
          <w:r w:rsidR="004B363E" w:rsidRPr="004B363E">
            <w:rPr>
              <w:b w:val="0"/>
              <w:szCs w:val="20"/>
            </w:rPr>
            <w:t xml:space="preserve">, 2018; </w:t>
          </w:r>
          <w:proofErr w:type="spellStart"/>
          <w:r w:rsidR="004B363E" w:rsidRPr="004B363E">
            <w:rPr>
              <w:b w:val="0"/>
              <w:szCs w:val="20"/>
            </w:rPr>
            <w:t>Sugiyono</w:t>
          </w:r>
          <w:proofErr w:type="spellEnd"/>
          <w:r w:rsidR="004B363E" w:rsidRPr="004B363E">
            <w:rPr>
              <w:b w:val="0"/>
              <w:szCs w:val="20"/>
            </w:rPr>
            <w:t xml:space="preserve">, 2022) </w:t>
          </w:r>
        </w:sdtContent>
      </w:sdt>
      <w:r w:rsidR="004B363E" w:rsidRPr="004B363E">
        <w:rPr>
          <w:rFonts w:eastAsia="Aptos"/>
          <w:b w:val="0"/>
          <w:kern w:val="2"/>
          <w:szCs w:val="20"/>
          <w14:ligatures w14:val="standardContextual"/>
        </w:rPr>
        <w:t xml:space="preserve">The research location is in </w:t>
      </w:r>
      <w:proofErr w:type="spellStart"/>
      <w:r w:rsidR="004B363E" w:rsidRPr="004B363E">
        <w:rPr>
          <w:rFonts w:eastAsia="Aptos"/>
          <w:b w:val="0"/>
          <w:kern w:val="2"/>
          <w:szCs w:val="20"/>
          <w14:ligatures w14:val="standardContextual"/>
        </w:rPr>
        <w:t>Tana</w:t>
      </w:r>
      <w:proofErr w:type="spellEnd"/>
      <w:r w:rsidR="004B363E" w:rsidRPr="004B363E">
        <w:rPr>
          <w:rFonts w:eastAsia="Aptos"/>
          <w:b w:val="0"/>
          <w:kern w:val="2"/>
          <w:szCs w:val="20"/>
          <w14:ligatures w14:val="standardContextual"/>
        </w:rPr>
        <w:t xml:space="preserve"> </w:t>
      </w:r>
      <w:proofErr w:type="spellStart"/>
      <w:r w:rsidR="004B363E" w:rsidRPr="004B363E">
        <w:rPr>
          <w:rFonts w:eastAsia="Aptos"/>
          <w:b w:val="0"/>
          <w:kern w:val="2"/>
          <w:szCs w:val="20"/>
          <w14:ligatures w14:val="standardContextual"/>
        </w:rPr>
        <w:t>Toraja</w:t>
      </w:r>
      <w:proofErr w:type="spellEnd"/>
      <w:r w:rsidR="004B363E" w:rsidRPr="004B363E">
        <w:rPr>
          <w:rFonts w:eastAsia="Aptos"/>
          <w:b w:val="0"/>
          <w:kern w:val="2"/>
          <w:szCs w:val="20"/>
          <w14:ligatures w14:val="standardContextual"/>
        </w:rPr>
        <w:t xml:space="preserve"> Regency, South Sulawesi Province, which represents the context of semi-urban education with diverse levels of technology utilization. The selection of this region is based on its characteristics that illustrate the dynamics of digital transformation of education outside metropolitan areas. The research will take place throughout 2025 and includes the preparation stage, data collection, and analysis of findings.</w:t>
      </w:r>
    </w:p>
    <w:p w:rsidR="004B363E" w:rsidRPr="004B363E" w:rsidRDefault="004B363E" w:rsidP="004B363E">
      <w:pPr>
        <w:spacing w:line="240" w:lineRule="auto"/>
        <w:ind w:left="426" w:firstLine="425"/>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The research participants were junior high school mathematics teachers in </w:t>
      </w:r>
      <w:proofErr w:type="spellStart"/>
      <w:r w:rsidRPr="004B363E">
        <w:rPr>
          <w:rFonts w:ascii="Palatino Linotype" w:eastAsia="Aptos" w:hAnsi="Palatino Linotype" w:cs="Times New Roman"/>
          <w:kern w:val="2"/>
          <w:sz w:val="20"/>
          <w:szCs w:val="20"/>
          <w:lang w:val="en-US"/>
          <w14:ligatures w14:val="standardContextual"/>
        </w:rPr>
        <w:t>Tana</w:t>
      </w:r>
      <w:proofErr w:type="spellEnd"/>
      <w:r w:rsidRPr="004B363E">
        <w:rPr>
          <w:rFonts w:ascii="Palatino Linotype" w:eastAsia="Aptos" w:hAnsi="Palatino Linotype" w:cs="Times New Roman"/>
          <w:kern w:val="2"/>
          <w:sz w:val="20"/>
          <w:szCs w:val="20"/>
          <w:lang w:val="en-US"/>
          <w14:ligatures w14:val="standardContextual"/>
        </w:rPr>
        <w:t xml:space="preserve"> </w:t>
      </w:r>
      <w:proofErr w:type="spellStart"/>
      <w:r w:rsidRPr="004B363E">
        <w:rPr>
          <w:rFonts w:ascii="Palatino Linotype" w:eastAsia="Aptos" w:hAnsi="Palatino Linotype" w:cs="Times New Roman"/>
          <w:kern w:val="2"/>
          <w:sz w:val="20"/>
          <w:szCs w:val="20"/>
          <w:lang w:val="en-US"/>
          <w14:ligatures w14:val="standardContextual"/>
        </w:rPr>
        <w:t>Toraja</w:t>
      </w:r>
      <w:proofErr w:type="spellEnd"/>
      <w:r w:rsidRPr="004B363E">
        <w:rPr>
          <w:rFonts w:ascii="Palatino Linotype" w:eastAsia="Aptos" w:hAnsi="Palatino Linotype" w:cs="Times New Roman"/>
          <w:kern w:val="2"/>
          <w:sz w:val="20"/>
          <w:szCs w:val="20"/>
          <w:lang w:val="en-US"/>
          <w14:ligatures w14:val="standardContextual"/>
        </w:rPr>
        <w:t xml:space="preserve"> Regency who were selected using the purposive sampling method. The selection criteria include: </w:t>
      </w:r>
    </w:p>
    <w:p w:rsidR="004B363E" w:rsidRPr="004B363E" w:rsidRDefault="004B363E" w:rsidP="004B363E">
      <w:pPr>
        <w:numPr>
          <w:ilvl w:val="0"/>
          <w:numId w:val="24"/>
        </w:numPr>
        <w:spacing w:line="240" w:lineRule="auto"/>
        <w:ind w:left="851" w:hanging="425"/>
        <w:contextualSpacing/>
        <w:jc w:val="both"/>
        <w:rPr>
          <w:rFonts w:ascii="Palatino Linotype" w:eastAsia="Aptos" w:hAnsi="Palatino Linotype" w:cs="Times New Roman"/>
          <w:kern w:val="2"/>
          <w:sz w:val="20"/>
          <w:szCs w:val="20"/>
          <w:lang w:val="en-US"/>
          <w14:ligatures w14:val="standardContextual"/>
        </w:rPr>
      </w:pPr>
      <w:proofErr w:type="gramStart"/>
      <w:r w:rsidRPr="004B363E">
        <w:rPr>
          <w:rFonts w:ascii="Palatino Linotype" w:eastAsia="Aptos" w:hAnsi="Palatino Linotype" w:cs="Times New Roman"/>
          <w:kern w:val="2"/>
          <w:sz w:val="20"/>
          <w:szCs w:val="20"/>
          <w:lang w:val="en-US"/>
          <w14:ligatures w14:val="standardContextual"/>
        </w:rPr>
        <w:t>teachers</w:t>
      </w:r>
      <w:proofErr w:type="gramEnd"/>
      <w:r w:rsidRPr="004B363E">
        <w:rPr>
          <w:rFonts w:ascii="Palatino Linotype" w:eastAsia="Aptos" w:hAnsi="Palatino Linotype" w:cs="Times New Roman"/>
          <w:kern w:val="2"/>
          <w:sz w:val="20"/>
          <w:szCs w:val="20"/>
          <w:lang w:val="en-US"/>
          <w14:ligatures w14:val="standardContextual"/>
        </w:rPr>
        <w:t xml:space="preserve"> who have known or have an interest in AI-based technology.</w:t>
      </w:r>
    </w:p>
    <w:p w:rsidR="004B363E" w:rsidRPr="004B363E" w:rsidRDefault="004B363E" w:rsidP="004B363E">
      <w:pPr>
        <w:numPr>
          <w:ilvl w:val="0"/>
          <w:numId w:val="24"/>
        </w:numPr>
        <w:spacing w:line="240" w:lineRule="auto"/>
        <w:ind w:left="851" w:hanging="425"/>
        <w:contextualSpacing/>
        <w:jc w:val="both"/>
        <w:rPr>
          <w:rFonts w:ascii="Palatino Linotype" w:eastAsia="Aptos" w:hAnsi="Palatino Linotype" w:cs="Times New Roman"/>
          <w:kern w:val="2"/>
          <w:sz w:val="20"/>
          <w:szCs w:val="20"/>
          <w:lang w:val="en-US"/>
          <w14:ligatures w14:val="standardContextual"/>
        </w:rPr>
      </w:pPr>
      <w:proofErr w:type="gramStart"/>
      <w:r w:rsidRPr="004B363E">
        <w:rPr>
          <w:rFonts w:ascii="Palatino Linotype" w:eastAsia="Aptos" w:hAnsi="Palatino Linotype" w:cs="Times New Roman"/>
          <w:kern w:val="2"/>
          <w:sz w:val="20"/>
          <w:szCs w:val="20"/>
          <w:lang w:val="en-US"/>
          <w14:ligatures w14:val="standardContextual"/>
        </w:rPr>
        <w:t>have</w:t>
      </w:r>
      <w:proofErr w:type="gramEnd"/>
      <w:r w:rsidRPr="004B363E">
        <w:rPr>
          <w:rFonts w:ascii="Palatino Linotype" w:eastAsia="Aptos" w:hAnsi="Palatino Linotype" w:cs="Times New Roman"/>
          <w:kern w:val="2"/>
          <w:sz w:val="20"/>
          <w:szCs w:val="20"/>
          <w:lang w:val="en-US"/>
          <w14:ligatures w14:val="standardContextual"/>
        </w:rPr>
        <w:t xml:space="preserve"> a minimum of three years of teaching experience.</w:t>
      </w:r>
    </w:p>
    <w:p w:rsidR="004B363E" w:rsidRPr="004B363E" w:rsidRDefault="004B363E" w:rsidP="004B363E">
      <w:pPr>
        <w:numPr>
          <w:ilvl w:val="0"/>
          <w:numId w:val="24"/>
        </w:numPr>
        <w:spacing w:line="240" w:lineRule="auto"/>
        <w:ind w:left="851" w:hanging="425"/>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Volunteer to participate in interviews and observations. </w:t>
      </w:r>
    </w:p>
    <w:p w:rsidR="004B363E" w:rsidRPr="004B363E" w:rsidRDefault="004B363E" w:rsidP="004B363E">
      <w:pPr>
        <w:spacing w:line="240" w:lineRule="auto"/>
        <w:ind w:left="426" w:firstLine="425"/>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The number of participants is determined based on the principle of data saturation, which is when the information obtained has been repeated and no new relevant findings have been found.</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"/>
          <w:id w:val="-807086624"/>
          <w:placeholder>
            <w:docPart w:val="141C998C52B8440A909B6026AB594F80"/>
          </w:placeholder>
        </w:sdtPr>
        <w:sdtContent>
          <w:r w:rsidRPr="004B363E">
            <w:rPr>
              <w:rFonts w:ascii="Palatino Linotype" w:eastAsia="Times New Roman" w:hAnsi="Palatino Linotype" w:cs="Times New Roman"/>
              <w:color w:val="000000"/>
              <w:kern w:val="2"/>
              <w:sz w:val="20"/>
              <w:szCs w:val="20"/>
              <w:lang w:val="en-US"/>
              <w14:ligatures w14:val="standardContextual"/>
            </w:rPr>
            <w:t xml:space="preserve">   (Creswell &amp; </w:t>
          </w:r>
          <w:proofErr w:type="spellStart"/>
          <w:r w:rsidRPr="004B363E">
            <w:rPr>
              <w:rFonts w:ascii="Palatino Linotype" w:eastAsia="Times New Roman" w:hAnsi="Palatino Linotype" w:cs="Times New Roman"/>
              <w:color w:val="000000"/>
              <w:kern w:val="2"/>
              <w:sz w:val="20"/>
              <w:szCs w:val="20"/>
              <w:lang w:val="en-US"/>
              <w14:ligatures w14:val="standardContextual"/>
            </w:rPr>
            <w:t>Poth</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2018) </w:t>
          </w:r>
        </w:sdtContent>
      </w:sdt>
    </w:p>
    <w:p w:rsidR="004B363E" w:rsidRPr="004B363E" w:rsidRDefault="004B363E" w:rsidP="004B363E">
      <w:pPr>
        <w:spacing w:line="240" w:lineRule="auto"/>
        <w:ind w:left="426" w:firstLine="294"/>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The research instrument consists of the researcher as the main instrument (human instrument) supported by semi-structured interview guidelines, observation sheets, and document analysis guidelines. The questions in the interview guidelines are prepared based on several dimensions, namely teacher readiness, knowledge of AI, experience in technology application, availability of supporting facilities, digital competence, as well as obstacles and expectations for artificial intelligence-based learning. The reliability of the instrument is strengthened through expert </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"/>
          <w:id w:val="598840613"/>
          <w:placeholder>
            <w:docPart w:val="141C998C52B8440A909B6026AB594F80"/>
          </w:placeholder>
        </w:sdtPr>
        <w:sdtContent>
          <w:r w:rsidRPr="004B363E">
            <w:rPr>
              <w:rFonts w:ascii="Palatino Linotype" w:eastAsia="Times New Roman" w:hAnsi="Palatino Linotype" w:cs="Times New Roman"/>
              <w:color w:val="000000"/>
              <w:kern w:val="2"/>
              <w:sz w:val="20"/>
              <w:szCs w:val="20"/>
              <w:lang w:val="en-US"/>
              <w14:ligatures w14:val="standardContextual"/>
            </w:rPr>
            <w:t xml:space="preserve">   (</w:t>
          </w:r>
          <w:proofErr w:type="spellStart"/>
          <w:r w:rsidRPr="004B363E">
            <w:rPr>
              <w:rFonts w:ascii="Palatino Linotype" w:eastAsia="Times New Roman" w:hAnsi="Palatino Linotype" w:cs="Times New Roman"/>
              <w:color w:val="000000"/>
              <w:kern w:val="2"/>
              <w:sz w:val="20"/>
              <w:szCs w:val="20"/>
              <w:lang w:val="en-US"/>
              <w14:ligatures w14:val="standardContextual"/>
            </w:rPr>
            <w:t>Rahmawati</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&amp; Sari, 2023) </w:t>
          </w:r>
        </w:sdtContent>
      </w:sdt>
      <w:r w:rsidRPr="004B363E">
        <w:rPr>
          <w:rFonts w:ascii="Palatino Linotype" w:eastAsia="Aptos" w:hAnsi="Palatino Linotype" w:cs="Times New Roman"/>
          <w:i/>
          <w:iCs/>
          <w:kern w:val="2"/>
          <w:sz w:val="20"/>
          <w:szCs w:val="20"/>
          <w:lang w:val="en-US"/>
          <w14:ligatures w14:val="standardContextual"/>
        </w:rPr>
        <w:t>judgment</w:t>
      </w:r>
      <w:r w:rsidRPr="004B363E">
        <w:rPr>
          <w:rFonts w:ascii="Palatino Linotype" w:eastAsia="Aptos" w:hAnsi="Palatino Linotype" w:cs="Times New Roman"/>
          <w:kern w:val="2"/>
          <w:sz w:val="20"/>
          <w:szCs w:val="20"/>
          <w:lang w:val="en-US"/>
          <w14:ligatures w14:val="standardContextual"/>
        </w:rPr>
        <w:t xml:space="preserve"> and member checking to align with the research focus.</w:t>
      </w:r>
    </w:p>
    <w:p w:rsidR="004B363E" w:rsidRPr="004B363E" w:rsidRDefault="004B363E" w:rsidP="004B363E">
      <w:pPr>
        <w:spacing w:line="240" w:lineRule="auto"/>
        <w:ind w:left="426" w:firstLine="294"/>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The data collection process was carried out through in-depth interviews as well as non-participatory observations. Semi-structured interviews of 45–60 minutes were used to explore teachers' views on the application of AI in geometry learning. Observation is applied to understand teaching practices in the classroom, while documentation studies include analysis of Learning Implementation Plans (RPPs), syllabus, and digital media used by teachers. All data collection activities are carried out under natural conditions to maintain the authenticity of information.</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"/>
          <w:id w:val="363638038"/>
          <w:placeholder>
            <w:docPart w:val="141C998C52B8440A909B6026AB594F80"/>
          </w:placeholder>
        </w:sdtPr>
        <w:sdtContent>
          <w:r w:rsidRPr="004B363E">
            <w:rPr>
              <w:rFonts w:ascii="Palatino Linotype" w:eastAsia="Aptos" w:hAnsi="Palatino Linotype" w:cs="Times New Roman"/>
              <w:color w:val="000000"/>
              <w:kern w:val="2"/>
              <w:sz w:val="20"/>
              <w:szCs w:val="20"/>
              <w:lang w:val="en-US"/>
              <w14:ligatures w14:val="standardContextual"/>
            </w:rPr>
            <w:t xml:space="preserve">   (Scott, 2022) </w:t>
          </w:r>
        </w:sdtContent>
      </w:sdt>
    </w:p>
    <w:p w:rsidR="005B5AEC" w:rsidRPr="004B363E" w:rsidRDefault="004B363E" w:rsidP="004B363E">
      <w:pPr>
        <w:spacing w:line="240" w:lineRule="auto"/>
        <w:ind w:left="426" w:firstLine="720"/>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The stages of data analysis are carried out thematically using a phenomenological approach according </w:t>
      </w:r>
      <w:proofErr w:type="gramStart"/>
      <w:r w:rsidRPr="004B363E">
        <w:rPr>
          <w:rFonts w:ascii="Palatino Linotype" w:eastAsia="Aptos" w:hAnsi="Palatino Linotype" w:cs="Times New Roman"/>
          <w:kern w:val="2"/>
          <w:sz w:val="20"/>
          <w:szCs w:val="20"/>
          <w:lang w:val="en-US"/>
          <w14:ligatures w14:val="standardContextual"/>
        </w:rPr>
        <w:t>to ,</w:t>
      </w:r>
      <w:proofErr w:type="gramEnd"/>
      <w:r w:rsidRPr="004B363E">
        <w:rPr>
          <w:rFonts w:ascii="Palatino Linotype" w:eastAsia="Aptos" w:hAnsi="Palatino Linotype" w:cs="Times New Roman"/>
          <w:kern w:val="2"/>
          <w:sz w:val="20"/>
          <w:szCs w:val="20"/>
          <w:lang w:val="en-US"/>
          <w14:ligatures w14:val="standardContextual"/>
        </w:rPr>
        <w:t xml:space="preserve"> including the transcription process, data reduction, coding, categorization, and identification of main themes. To improve systematization and transparency, the analysis process is assisted by </w:t>
      </w:r>
      <w:proofErr w:type="spellStart"/>
      <w:r w:rsidRPr="004B363E">
        <w:rPr>
          <w:rFonts w:ascii="Palatino Linotype" w:eastAsia="Aptos" w:hAnsi="Palatino Linotype" w:cs="Times New Roman"/>
          <w:kern w:val="2"/>
          <w:sz w:val="20"/>
          <w:szCs w:val="20"/>
          <w:lang w:val="en-US"/>
          <w14:ligatures w14:val="standardContextual"/>
        </w:rPr>
        <w:t>NVivo</w:t>
      </w:r>
      <w:proofErr w:type="spellEnd"/>
      <w:r w:rsidRPr="004B363E">
        <w:rPr>
          <w:rFonts w:ascii="Palatino Linotype" w:eastAsia="Aptos" w:hAnsi="Palatino Linotype" w:cs="Times New Roman"/>
          <w:kern w:val="2"/>
          <w:sz w:val="20"/>
          <w:szCs w:val="20"/>
          <w:lang w:val="en-US"/>
          <w14:ligatures w14:val="standardContextual"/>
        </w:rPr>
        <w:t xml:space="preserve"> 15 software. This tool is used to perform keyword-based automatic coding, compile thematic categories, and display inter-theme relationships through coding matrix and thematic mapping. Analysis is inductive in order to capture patterns of meaning that describe the teacher's authentic experience. Data validity is maintained through triangulation of sources and methods, member checking, and trail audits to ensure consistency and traceability of all stages of research.</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"/>
          <w:id w:val="1731807364"/>
          <w:placeholder>
            <w:docPart w:val="141C998C52B8440A909B6026AB594F80"/>
          </w:placeholder>
        </w:sdtPr>
        <w:sdtContent>
          <w:r w:rsidRPr="004B363E">
            <w:rPr>
              <w:rFonts w:ascii="Palatino Linotype" w:eastAsia="Aptos" w:hAnsi="Palatino Linotype" w:cs="Times New Roman"/>
              <w:color w:val="000000"/>
              <w:kern w:val="2"/>
              <w:sz w:val="20"/>
              <w:szCs w:val="20"/>
              <w:lang w:val="en-US"/>
              <w14:ligatures w14:val="standardContextual"/>
            </w:rPr>
            <w:t xml:space="preserve">   Creswell (2018) </w:t>
          </w:r>
        </w:sdtContent>
      </w:sdt>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"/>
          <w:id w:val="400946827"/>
          <w:placeholder>
            <w:docPart w:val="141C998C52B8440A909B6026AB594F80"/>
          </w:placeholder>
        </w:sdtPr>
        <w:sdtContent>
          <w:r w:rsidRPr="004B363E">
            <w:rPr>
              <w:rFonts w:ascii="Palatino Linotype" w:eastAsia="Times New Roman" w:hAnsi="Palatino Linotype" w:cs="Times New Roman"/>
              <w:color w:val="000000"/>
              <w:kern w:val="2"/>
              <w:sz w:val="20"/>
              <w:szCs w:val="20"/>
              <w:lang w:val="en-US"/>
              <w14:ligatures w14:val="standardContextual"/>
            </w:rPr>
            <w:t xml:space="preserve">   (Lincoln &amp; </w:t>
          </w:r>
          <w:proofErr w:type="spellStart"/>
          <w:r w:rsidRPr="004B363E">
            <w:rPr>
              <w:rFonts w:ascii="Palatino Linotype" w:eastAsia="Times New Roman" w:hAnsi="Palatino Linotype" w:cs="Times New Roman"/>
              <w:color w:val="000000"/>
              <w:kern w:val="2"/>
              <w:sz w:val="20"/>
              <w:szCs w:val="20"/>
              <w:lang w:val="en-US"/>
              <w14:ligatures w14:val="standardContextual"/>
            </w:rPr>
            <w:t>Guba</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1985) </w:t>
          </w:r>
        </w:sdtContent>
      </w:sdt>
    </w:p>
    <w:p w:rsidR="004B363E" w:rsidRPr="004B363E" w:rsidRDefault="005B5AEC" w:rsidP="004B363E">
      <w:pPr>
        <w:pStyle w:val="Alishlah21heading1"/>
        <w:ind w:left="426" w:hanging="426"/>
        <w:jc w:val="both"/>
        <w:rPr>
          <w:rFonts w:eastAsia="Aptos"/>
          <w:kern w:val="2"/>
          <w:szCs w:val="20"/>
          <w14:ligatures w14:val="standardContextual"/>
        </w:rPr>
      </w:pPr>
      <w:r>
        <w:rPr>
          <w:rFonts w:eastAsia="Arial"/>
        </w:rPr>
        <w:t xml:space="preserve">FINDINGS </w:t>
      </w:r>
      <w:r w:rsidRPr="00723B12">
        <w:rPr>
          <w:rFonts w:eastAsia="Arial"/>
        </w:rPr>
        <w:t>AND DISCUSSION</w:t>
      </w:r>
    </w:p>
    <w:p w:rsidR="004B363E" w:rsidRPr="004B363E" w:rsidRDefault="004B363E" w:rsidP="004B363E">
      <w:pPr>
        <w:pStyle w:val="Alishlah21heading1"/>
        <w:numPr>
          <w:ilvl w:val="0"/>
          <w:numId w:val="0"/>
        </w:numPr>
        <w:spacing w:line="240" w:lineRule="auto"/>
        <w:ind w:left="426"/>
        <w:jc w:val="both"/>
        <w:rPr>
          <w:rFonts w:eastAsia="Aptos"/>
          <w:b w:val="0"/>
          <w:kern w:val="2"/>
          <w:szCs w:val="20"/>
          <w14:ligatures w14:val="standardContextual"/>
        </w:rPr>
      </w:pPr>
      <w:r w:rsidRPr="004B363E">
        <w:rPr>
          <w:rFonts w:eastAsia="Aptos"/>
          <w:b w:val="0"/>
          <w:kern w:val="2"/>
          <w:szCs w:val="20"/>
          <w14:ligatures w14:val="standardContextual"/>
        </w:rPr>
        <w:t xml:space="preserve">The thematic analysis carried out with the help of </w:t>
      </w:r>
      <w:proofErr w:type="spellStart"/>
      <w:r w:rsidRPr="004B363E">
        <w:rPr>
          <w:rFonts w:eastAsia="Aptos"/>
          <w:b w:val="0"/>
          <w:kern w:val="2"/>
          <w:szCs w:val="20"/>
          <w14:ligatures w14:val="standardContextual"/>
        </w:rPr>
        <w:t>NVivo</w:t>
      </w:r>
      <w:proofErr w:type="spellEnd"/>
      <w:r w:rsidRPr="004B363E">
        <w:rPr>
          <w:rFonts w:eastAsia="Aptos"/>
          <w:b w:val="0"/>
          <w:kern w:val="2"/>
          <w:szCs w:val="20"/>
          <w14:ligatures w14:val="standardContextual"/>
        </w:rPr>
        <w:t xml:space="preserve"> 15 software identified four main themes that describe the views, obstacles, and aspirations of junior high school mathematics teachers towards the development of geometry learning based on </w:t>
      </w:r>
      <w:r w:rsidRPr="004B363E">
        <w:rPr>
          <w:rFonts w:eastAsia="Aptos"/>
          <w:b w:val="0"/>
          <w:i/>
          <w:iCs/>
          <w:kern w:val="2"/>
          <w:szCs w:val="20"/>
          <w14:ligatures w14:val="standardContextual"/>
        </w:rPr>
        <w:t>Artificial Intelligence</w:t>
      </w:r>
      <w:r w:rsidRPr="004B363E">
        <w:rPr>
          <w:rFonts w:eastAsia="Aptos"/>
          <w:b w:val="0"/>
          <w:kern w:val="2"/>
          <w:szCs w:val="20"/>
          <w14:ligatures w14:val="standardContextual"/>
        </w:rPr>
        <w:t>. The four themes include: Teacher Perception, AI Implementation, Teacher Readiness, and Development Expectations.</w:t>
      </w:r>
      <w:bookmarkStart w:id="2" w:name="_Hlk213761419"/>
      <w:bookmarkEnd w:id="2"/>
    </w:p>
    <w:p w:rsidR="004B363E" w:rsidRPr="004B363E" w:rsidRDefault="004B363E" w:rsidP="004B363E">
      <w:pPr>
        <w:keepNext/>
        <w:spacing w:line="240" w:lineRule="auto"/>
        <w:ind w:firstLine="426"/>
        <w:contextualSpacing/>
        <w:jc w:val="center"/>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noProof/>
          <w:kern w:val="2"/>
          <w:sz w:val="20"/>
          <w:szCs w:val="20"/>
          <w:lang w:val="en-US"/>
          <w14:ligatures w14:val="standardContextual"/>
        </w:rPr>
        <w:drawing>
          <wp:inline distT="0" distB="0" distL="0" distR="0" wp14:anchorId="6A118B18" wp14:editId="3E120232">
            <wp:extent cx="3293105" cy="4578824"/>
            <wp:effectExtent l="0" t="0" r="3175" b="0"/>
            <wp:docPr id="1" name="Picture 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07406" name="Picture 1" descr="A diagram of a network&#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13293" cy="4606894"/>
                    </a:xfrm>
                    <a:prstGeom prst="rect">
                      <a:avLst/>
                    </a:prstGeom>
                  </pic:spPr>
                </pic:pic>
              </a:graphicData>
            </a:graphic>
          </wp:inline>
        </w:drawing>
      </w:r>
    </w:p>
    <w:p w:rsidR="004B363E" w:rsidRPr="004B363E" w:rsidRDefault="004B363E" w:rsidP="004B363E">
      <w:pPr>
        <w:spacing w:after="200" w:line="240" w:lineRule="auto"/>
        <w:contextualSpacing/>
        <w:jc w:val="center"/>
        <w:rPr>
          <w:rFonts w:ascii="Palatino Linotype" w:eastAsia="Aptos" w:hAnsi="Palatino Linotype" w:cs="Times New Roman"/>
          <w:i/>
          <w:iCs/>
          <w:kern w:val="2"/>
          <w:sz w:val="20"/>
          <w:szCs w:val="20"/>
          <w:lang w:val="en-US"/>
          <w14:ligatures w14:val="standardContextual"/>
        </w:rPr>
      </w:pPr>
      <w:proofErr w:type="gramStart"/>
      <w:r w:rsidRPr="004B363E">
        <w:rPr>
          <w:rFonts w:ascii="Palatino Linotype" w:eastAsia="Aptos" w:hAnsi="Palatino Linotype" w:cs="Times New Roman"/>
          <w:bCs/>
          <w:i/>
          <w:iCs/>
          <w:kern w:val="2"/>
          <w:sz w:val="20"/>
          <w:szCs w:val="20"/>
          <w:lang w:val="en-US"/>
          <w14:ligatures w14:val="standardContextual"/>
        </w:rPr>
        <w:t xml:space="preserve">Picture </w:t>
      </w:r>
      <w:r w:rsidRPr="004B363E">
        <w:rPr>
          <w:rFonts w:ascii="Palatino Linotype" w:eastAsia="Aptos" w:hAnsi="Palatino Linotype" w:cs="Times New Roman"/>
          <w:bCs/>
          <w:i/>
          <w:iCs/>
          <w:kern w:val="2"/>
          <w:sz w:val="20"/>
          <w:szCs w:val="20"/>
          <w:lang w:val="en-US"/>
          <w14:ligatures w14:val="standardContextual"/>
        </w:rPr>
        <w:fldChar w:fldCharType="begin"/>
      </w:r>
      <w:r w:rsidRPr="004B363E">
        <w:rPr>
          <w:rFonts w:ascii="Palatino Linotype" w:eastAsia="Aptos" w:hAnsi="Palatino Linotype" w:cs="Times New Roman"/>
          <w:bCs/>
          <w:i/>
          <w:iCs/>
          <w:kern w:val="2"/>
          <w:sz w:val="20"/>
          <w:szCs w:val="20"/>
          <w:lang w:val="en-US"/>
          <w14:ligatures w14:val="standardContextual"/>
        </w:rPr>
        <w:instrText xml:space="preserve"> SEQ Gambar \* ARABIC </w:instrText>
      </w:r>
      <w:r w:rsidRPr="004B363E">
        <w:rPr>
          <w:rFonts w:ascii="Palatino Linotype" w:eastAsia="Aptos" w:hAnsi="Palatino Linotype" w:cs="Times New Roman"/>
          <w:bCs/>
          <w:i/>
          <w:iCs/>
          <w:kern w:val="2"/>
          <w:sz w:val="20"/>
          <w:szCs w:val="20"/>
          <w:lang w:val="en-US"/>
          <w14:ligatures w14:val="standardContextual"/>
        </w:rPr>
        <w:fldChar w:fldCharType="separate"/>
      </w:r>
      <w:r w:rsidRPr="004B363E">
        <w:rPr>
          <w:rFonts w:ascii="Palatino Linotype" w:eastAsia="Aptos" w:hAnsi="Palatino Linotype" w:cs="Times New Roman"/>
          <w:bCs/>
          <w:i/>
          <w:iCs/>
          <w:noProof/>
          <w:kern w:val="2"/>
          <w:sz w:val="20"/>
          <w:szCs w:val="20"/>
          <w:lang w:val="en-US"/>
          <w14:ligatures w14:val="standardContextual"/>
        </w:rPr>
        <w:t>1</w:t>
      </w:r>
      <w:r w:rsidRPr="004B363E">
        <w:rPr>
          <w:rFonts w:ascii="Palatino Linotype" w:eastAsia="Aptos" w:hAnsi="Palatino Linotype" w:cs="Times New Roman"/>
          <w:bCs/>
          <w:i/>
          <w:iCs/>
          <w:kern w:val="2"/>
          <w:sz w:val="20"/>
          <w:szCs w:val="20"/>
          <w:lang w:val="en-US"/>
          <w14:ligatures w14:val="standardContextual"/>
        </w:rPr>
        <w:fldChar w:fldCharType="end"/>
      </w:r>
      <w:r w:rsidRPr="004B363E">
        <w:rPr>
          <w:rFonts w:ascii="Palatino Linotype" w:eastAsia="Aptos" w:hAnsi="Palatino Linotype" w:cs="Times New Roman"/>
          <w:bCs/>
          <w:i/>
          <w:iCs/>
          <w:kern w:val="2"/>
          <w:sz w:val="20"/>
          <w:szCs w:val="20"/>
          <w:lang w:val="en-US"/>
          <w14:ligatures w14:val="standardContextual"/>
        </w:rPr>
        <w:t>.</w:t>
      </w:r>
      <w:proofErr w:type="gramEnd"/>
      <w:r w:rsidRPr="004B363E">
        <w:rPr>
          <w:rFonts w:ascii="Palatino Linotype" w:eastAsia="Aptos" w:hAnsi="Palatino Linotype" w:cs="Times New Roman"/>
          <w:bCs/>
          <w:i/>
          <w:iCs/>
          <w:kern w:val="2"/>
          <w:sz w:val="20"/>
          <w:szCs w:val="20"/>
          <w:lang w:val="en-US"/>
          <w14:ligatures w14:val="standardContextual"/>
        </w:rPr>
        <w:t xml:space="preserve"> </w:t>
      </w:r>
      <w:r w:rsidRPr="004B363E">
        <w:rPr>
          <w:rFonts w:ascii="Palatino Linotype" w:eastAsia="Aptos" w:hAnsi="Palatino Linotype" w:cs="Times New Roman"/>
          <w:i/>
          <w:iCs/>
          <w:kern w:val="2"/>
          <w:sz w:val="20"/>
          <w:szCs w:val="20"/>
          <w:lang w:val="en-US"/>
          <w14:ligatures w14:val="standardContextual"/>
        </w:rPr>
        <w:t>Thematic map of Teacher Identification of the Application of AI in Geometry Learning</w:t>
      </w:r>
    </w:p>
    <w:p w:rsidR="004B363E" w:rsidRPr="004B363E" w:rsidRDefault="004B363E" w:rsidP="004B363E">
      <w:pPr>
        <w:spacing w:after="200" w:line="240" w:lineRule="auto"/>
        <w:contextualSpacing/>
        <w:jc w:val="center"/>
        <w:rPr>
          <w:rFonts w:ascii="Palatino Linotype" w:eastAsia="Aptos" w:hAnsi="Palatino Linotype" w:cs="Times New Roman"/>
          <w:i/>
          <w:iCs/>
          <w:kern w:val="2"/>
          <w:sz w:val="20"/>
          <w:szCs w:val="20"/>
          <w:lang w:val="en-US"/>
          <w14:ligatures w14:val="standardContextual"/>
        </w:rPr>
      </w:pPr>
      <w:r w:rsidRPr="004B363E">
        <w:rPr>
          <w:rFonts w:ascii="Palatino Linotype" w:eastAsia="Aptos" w:hAnsi="Palatino Linotype" w:cs="Times New Roman"/>
          <w:bCs/>
          <w:i/>
          <w:iCs/>
          <w:kern w:val="2"/>
          <w:sz w:val="20"/>
          <w:szCs w:val="20"/>
          <w:lang w:val="en-US"/>
          <w14:ligatures w14:val="standardContextual"/>
        </w:rPr>
        <w:t xml:space="preserve">Image </w:t>
      </w:r>
      <w:proofErr w:type="gramStart"/>
      <w:r w:rsidRPr="004B363E">
        <w:rPr>
          <w:rFonts w:ascii="Palatino Linotype" w:eastAsia="Aptos" w:hAnsi="Palatino Linotype" w:cs="Times New Roman"/>
          <w:bCs/>
          <w:i/>
          <w:iCs/>
          <w:kern w:val="2"/>
          <w:sz w:val="20"/>
          <w:szCs w:val="20"/>
          <w:lang w:val="en-US"/>
          <w14:ligatures w14:val="standardContextual"/>
        </w:rPr>
        <w:t>Output :</w:t>
      </w:r>
      <w:proofErr w:type="gramEnd"/>
      <w:r w:rsidRPr="004B363E">
        <w:rPr>
          <w:rFonts w:ascii="Palatino Linotype" w:eastAsia="Aptos" w:hAnsi="Palatino Linotype" w:cs="Times New Roman"/>
          <w:i/>
          <w:iCs/>
          <w:kern w:val="2"/>
          <w:sz w:val="20"/>
          <w:szCs w:val="20"/>
          <w:lang w:val="en-US"/>
          <w14:ligatures w14:val="standardContextual"/>
        </w:rPr>
        <w:t xml:space="preserve"> NVivo15</w:t>
      </w:r>
    </w:p>
    <w:p w:rsidR="004B363E"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Overall, the results of the study show that teachers' conceptual understanding of AI is still relatively shallow. Many teachers view AI as just an automation tool, not as a pedagogical instrument capable of supporting data-driven adaptive learning. The low conceptual literacy has an impact on the limited ability of teachers to optimize the potential of AI to strengthen the effectiveness of geometry learning. These findings are in line with the view that the successful integration of AI requires a deep understanding of the pedagogical function of the technology, not just technical mastery.</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"/>
          <w:id w:val="2012406479"/>
          <w:placeholder>
            <w:docPart w:val="DE3F7B4DD5DF4B4BA8BCB437238CAE48"/>
          </w:placeholder>
        </w:sdtPr>
        <w:sdtContent>
          <w:r w:rsidRPr="004B363E">
            <w:rPr>
              <w:rFonts w:ascii="Palatino Linotype" w:eastAsia="Times New Roman" w:hAnsi="Palatino Linotype" w:cs="Times New Roman"/>
              <w:color w:val="000000"/>
              <w:kern w:val="2"/>
              <w:sz w:val="20"/>
              <w:szCs w:val="20"/>
              <w:lang w:val="en-US"/>
              <w14:ligatures w14:val="standardContextual"/>
            </w:rPr>
            <w:t xml:space="preserve">   Hwang &amp; Chang (2021) </w:t>
          </w:r>
        </w:sdtContent>
      </w:sdt>
    </w:p>
    <w:p w:rsidR="004B363E"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Infrastructure and digital competency factors are also significant obstacles in the application of AI in schools. Limited computer devices, unstable internet connections, and lack of technical assistance make it difficult for teachers to use AI-based learning media. This condition supports the results of research that shows that teachers' readiness for technology is greatly influenced by the support of facilities and the role of educational institutions.</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"/>
          <w:id w:val="9730366"/>
          <w:placeholder>
            <w:docPart w:val="DE3F7B4DD5DF4B4BA8BCB437238CAE48"/>
          </w:placeholder>
        </w:sdtPr>
        <w:sdtContent>
          <w:r w:rsidRPr="004B363E">
            <w:rPr>
              <w:rFonts w:ascii="Palatino Linotype" w:eastAsia="Times New Roman" w:hAnsi="Palatino Linotype" w:cs="Times New Roman"/>
              <w:color w:val="000000"/>
              <w:kern w:val="2"/>
              <w:sz w:val="20"/>
              <w:szCs w:val="20"/>
              <w:lang w:val="en-US"/>
              <w14:ligatures w14:val="standardContextual"/>
            </w:rPr>
            <w:t xml:space="preserve">   </w:t>
          </w:r>
          <w:proofErr w:type="spellStart"/>
          <w:r w:rsidRPr="004B363E">
            <w:rPr>
              <w:rFonts w:ascii="Palatino Linotype" w:eastAsia="Times New Roman" w:hAnsi="Palatino Linotype" w:cs="Times New Roman"/>
              <w:color w:val="000000"/>
              <w:kern w:val="2"/>
              <w:sz w:val="20"/>
              <w:szCs w:val="20"/>
              <w:lang w:val="en-US"/>
              <w14:ligatures w14:val="standardContextual"/>
            </w:rPr>
            <w:t>Suharsono</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&amp; </w:t>
          </w:r>
          <w:proofErr w:type="spellStart"/>
          <w:r w:rsidRPr="004B363E">
            <w:rPr>
              <w:rFonts w:ascii="Palatino Linotype" w:eastAsia="Times New Roman" w:hAnsi="Palatino Linotype" w:cs="Times New Roman"/>
              <w:color w:val="000000"/>
              <w:kern w:val="2"/>
              <w:sz w:val="20"/>
              <w:szCs w:val="20"/>
              <w:lang w:val="en-US"/>
              <w14:ligatures w14:val="standardContextual"/>
            </w:rPr>
            <w:t>Ningsih</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(2024) </w:t>
          </w:r>
        </w:sdtContent>
      </w:sdt>
    </w:p>
    <w:p w:rsidR="004B363E"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Despite facing various obstacles, teachers consider that AI has great potential in strengthening students' visualization and spatial understanding skills. This technology is considered to be able to facilitate the exploration of building spaces through three-dimensional simulations and interactive learning experiences. This view is in line with findings that show that </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"/>
          <w:id w:val="1134370739"/>
          <w:placeholder>
            <w:docPart w:val="DE3F7B4DD5DF4B4BA8BCB437238CAE48"/>
          </w:placeholder>
        </w:sdtPr>
        <w:sdtContent>
          <w:r w:rsidRPr="004B363E">
            <w:rPr>
              <w:rFonts w:ascii="Palatino Linotype" w:eastAsia="Aptos" w:hAnsi="Palatino Linotype" w:cs="Times New Roman"/>
              <w:color w:val="000000"/>
              <w:kern w:val="2"/>
              <w:sz w:val="20"/>
              <w:szCs w:val="20"/>
              <w:lang w:val="en-US"/>
              <w14:ligatures w14:val="standardContextual"/>
            </w:rPr>
            <w:t xml:space="preserve">   Lee  </w:t>
          </w:r>
          <w:r w:rsidRPr="004B363E">
            <w:rPr>
              <w:rFonts w:ascii="Palatino Linotype" w:eastAsia="Aptos" w:hAnsi="Palatino Linotype" w:cs="Times New Roman"/>
              <w:i/>
              <w:iCs/>
              <w:color w:val="000000"/>
              <w:kern w:val="2"/>
              <w:sz w:val="20"/>
              <w:szCs w:val="20"/>
              <w:lang w:val="en-US"/>
              <w14:ligatures w14:val="standardContextual"/>
            </w:rPr>
            <w:t xml:space="preserve">   et al. </w:t>
          </w:r>
          <w:r w:rsidRPr="004B363E">
            <w:rPr>
              <w:rFonts w:ascii="Palatino Linotype" w:eastAsia="Aptos" w:hAnsi="Palatino Linotype" w:cs="Times New Roman"/>
              <w:color w:val="000000"/>
              <w:kern w:val="2"/>
              <w:sz w:val="20"/>
              <w:szCs w:val="20"/>
              <w:lang w:val="en-US"/>
              <w14:ligatures w14:val="standardContextual"/>
            </w:rPr>
            <w:t xml:space="preserve">    (2020) </w:t>
          </w:r>
        </w:sdtContent>
      </w:sdt>
      <w:r w:rsidRPr="004B363E">
        <w:rPr>
          <w:rFonts w:ascii="Palatino Linotype" w:eastAsia="Aptos" w:hAnsi="Palatino Linotype" w:cs="Times New Roman"/>
          <w:i/>
          <w:iCs/>
          <w:kern w:val="2"/>
          <w:sz w:val="20"/>
          <w:szCs w:val="20"/>
          <w:lang w:val="en-US"/>
          <w14:ligatures w14:val="standardContextual"/>
        </w:rPr>
        <w:t xml:space="preserve"> AI-based intelligent tutoring systems</w:t>
      </w:r>
      <w:r w:rsidRPr="004B363E">
        <w:rPr>
          <w:rFonts w:ascii="Palatino Linotype" w:eastAsia="Aptos" w:hAnsi="Palatino Linotype" w:cs="Times New Roman"/>
          <w:kern w:val="2"/>
          <w:sz w:val="20"/>
          <w:szCs w:val="20"/>
          <w:lang w:val="en-US"/>
          <w14:ligatures w14:val="standardContextual"/>
        </w:rPr>
        <w:t xml:space="preserve"> can increase students' motivation and conceptual understanding of mathematics learning. However, some teachers are still concerned about the social and ethical implications of using AI, such as the reduced role of humans in teaching and the issue of student data privacy, as stated </w:t>
      </w:r>
      <w:proofErr w:type="gramStart"/>
      <w:r w:rsidRPr="004B363E">
        <w:rPr>
          <w:rFonts w:ascii="Palatino Linotype" w:eastAsia="Aptos" w:hAnsi="Palatino Linotype" w:cs="Times New Roman"/>
          <w:kern w:val="2"/>
          <w:sz w:val="20"/>
          <w:szCs w:val="20"/>
          <w:lang w:val="en-US"/>
          <w14:ligatures w14:val="standardContextual"/>
        </w:rPr>
        <w:t>by .</w:t>
      </w:r>
      <w:proofErr w:type="gramEnd"/>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"/>
          <w:id w:val="631991194"/>
          <w:placeholder>
            <w:docPart w:val="DE3F7B4DD5DF4B4BA8BCB437238CAE48"/>
          </w:placeholder>
        </w:sdtPr>
        <w:sdtContent>
          <w:r w:rsidRPr="004B363E">
            <w:rPr>
              <w:rFonts w:ascii="Palatino Linotype" w:eastAsia="Aptos" w:hAnsi="Palatino Linotype" w:cs="Times New Roman"/>
              <w:color w:val="000000"/>
              <w:kern w:val="2"/>
              <w:sz w:val="20"/>
              <w:szCs w:val="20"/>
              <w:lang w:val="en-US"/>
              <w14:ligatures w14:val="standardContextual"/>
            </w:rPr>
            <w:t xml:space="preserve">   </w:t>
          </w:r>
          <w:proofErr w:type="spellStart"/>
          <w:proofErr w:type="gramStart"/>
          <w:r w:rsidRPr="004B363E">
            <w:rPr>
              <w:rFonts w:ascii="Palatino Linotype" w:eastAsia="Aptos" w:hAnsi="Palatino Linotype" w:cs="Times New Roman"/>
              <w:color w:val="000000"/>
              <w:kern w:val="2"/>
              <w:sz w:val="20"/>
              <w:szCs w:val="20"/>
              <w:lang w:val="en-US"/>
              <w14:ligatures w14:val="standardContextual"/>
            </w:rPr>
            <w:t>Payadnya</w:t>
          </w:r>
          <w:proofErr w:type="spellEnd"/>
          <w:r w:rsidRPr="004B363E">
            <w:rPr>
              <w:rFonts w:ascii="Palatino Linotype" w:eastAsia="Aptos" w:hAnsi="Palatino Linotype" w:cs="Times New Roman"/>
              <w:color w:val="000000"/>
              <w:kern w:val="2"/>
              <w:sz w:val="20"/>
              <w:szCs w:val="20"/>
              <w:lang w:val="en-US"/>
              <w14:ligatures w14:val="standardContextual"/>
            </w:rPr>
            <w:t xml:space="preserve">  </w:t>
          </w:r>
          <w:r w:rsidRPr="004B363E">
            <w:rPr>
              <w:rFonts w:ascii="Palatino Linotype" w:eastAsia="Aptos" w:hAnsi="Palatino Linotype" w:cs="Times New Roman"/>
              <w:i/>
              <w:iCs/>
              <w:color w:val="000000"/>
              <w:kern w:val="2"/>
              <w:sz w:val="20"/>
              <w:szCs w:val="20"/>
              <w:lang w:val="en-US"/>
              <w14:ligatures w14:val="standardContextual"/>
            </w:rPr>
            <w:t xml:space="preserve">   et al.</w:t>
          </w:r>
          <w:proofErr w:type="gramEnd"/>
          <w:r w:rsidRPr="004B363E">
            <w:rPr>
              <w:rFonts w:ascii="Palatino Linotype" w:eastAsia="Aptos" w:hAnsi="Palatino Linotype" w:cs="Times New Roman"/>
              <w:i/>
              <w:iCs/>
              <w:color w:val="000000"/>
              <w:kern w:val="2"/>
              <w:sz w:val="20"/>
              <w:szCs w:val="20"/>
              <w:lang w:val="en-US"/>
              <w14:ligatures w14:val="standardContextual"/>
            </w:rPr>
            <w:t xml:space="preserve"> </w:t>
          </w:r>
          <w:r w:rsidRPr="004B363E">
            <w:rPr>
              <w:rFonts w:ascii="Palatino Linotype" w:eastAsia="Aptos" w:hAnsi="Palatino Linotype" w:cs="Times New Roman"/>
              <w:color w:val="000000"/>
              <w:kern w:val="2"/>
              <w:sz w:val="20"/>
              <w:szCs w:val="20"/>
              <w:lang w:val="en-US"/>
              <w14:ligatures w14:val="standardContextual"/>
            </w:rPr>
            <w:t xml:space="preserve">    (2025) </w:t>
          </w:r>
        </w:sdtContent>
      </w:sdt>
    </w:p>
    <w:p w:rsidR="004B363E"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This research also emphasizes the importance of institutional support and education policies in encouraging the success of AI integration. Many teachers said that until now there </w:t>
      </w:r>
      <w:proofErr w:type="gramStart"/>
      <w:r w:rsidRPr="004B363E">
        <w:rPr>
          <w:rFonts w:ascii="Palatino Linotype" w:eastAsia="Aptos" w:hAnsi="Palatino Linotype" w:cs="Times New Roman"/>
          <w:kern w:val="2"/>
          <w:sz w:val="20"/>
          <w:szCs w:val="20"/>
          <w:lang w:val="en-US"/>
          <w14:ligatures w14:val="standardContextual"/>
        </w:rPr>
        <w:t>has been no official training or policy guidelines</w:t>
      </w:r>
      <w:proofErr w:type="gramEnd"/>
      <w:r w:rsidRPr="004B363E">
        <w:rPr>
          <w:rFonts w:ascii="Palatino Linotype" w:eastAsia="Aptos" w:hAnsi="Palatino Linotype" w:cs="Times New Roman"/>
          <w:kern w:val="2"/>
          <w:sz w:val="20"/>
          <w:szCs w:val="20"/>
          <w:lang w:val="en-US"/>
          <w14:ligatures w14:val="standardContextual"/>
        </w:rPr>
        <w:t xml:space="preserve"> from schools or related agencies. This lack of structural support hinders teachers' readiness and confidence in adopting technology-based innovations, supporting the view that the effectiveness of the application of educational technology is greatly influenced by school management.</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"/>
          <w:id w:val="1706593691"/>
          <w:placeholder>
            <w:docPart w:val="DE3F7B4DD5DF4B4BA8BCB437238CAE48"/>
          </w:placeholder>
        </w:sdtPr>
        <w:sdtContent>
          <w:r w:rsidRPr="004B363E">
            <w:rPr>
              <w:rFonts w:ascii="Palatino Linotype" w:eastAsia="Aptos" w:hAnsi="Palatino Linotype" w:cs="Times New Roman"/>
              <w:color w:val="000000"/>
              <w:kern w:val="2"/>
              <w:sz w:val="20"/>
              <w:szCs w:val="20"/>
              <w:lang w:val="en-US"/>
              <w14:ligatures w14:val="standardContextual"/>
            </w:rPr>
            <w:t xml:space="preserve">   </w:t>
          </w:r>
          <w:proofErr w:type="spellStart"/>
          <w:proofErr w:type="gramStart"/>
          <w:r w:rsidRPr="004B363E">
            <w:rPr>
              <w:rFonts w:ascii="Palatino Linotype" w:eastAsia="Aptos" w:hAnsi="Palatino Linotype" w:cs="Times New Roman"/>
              <w:color w:val="000000"/>
              <w:kern w:val="2"/>
              <w:sz w:val="20"/>
              <w:szCs w:val="20"/>
              <w:lang w:val="en-US"/>
              <w14:ligatures w14:val="standardContextual"/>
            </w:rPr>
            <w:t>Supadi</w:t>
          </w:r>
          <w:proofErr w:type="spellEnd"/>
          <w:r w:rsidRPr="004B363E">
            <w:rPr>
              <w:rFonts w:ascii="Palatino Linotype" w:eastAsia="Aptos" w:hAnsi="Palatino Linotype" w:cs="Times New Roman"/>
              <w:color w:val="000000"/>
              <w:kern w:val="2"/>
              <w:sz w:val="20"/>
              <w:szCs w:val="20"/>
              <w:lang w:val="en-US"/>
              <w14:ligatures w14:val="standardContextual"/>
            </w:rPr>
            <w:t xml:space="preserve">  </w:t>
          </w:r>
          <w:r w:rsidRPr="004B363E">
            <w:rPr>
              <w:rFonts w:ascii="Palatino Linotype" w:eastAsia="Aptos" w:hAnsi="Palatino Linotype" w:cs="Times New Roman"/>
              <w:i/>
              <w:iCs/>
              <w:color w:val="000000"/>
              <w:kern w:val="2"/>
              <w:sz w:val="20"/>
              <w:szCs w:val="20"/>
              <w:lang w:val="en-US"/>
              <w14:ligatures w14:val="standardContextual"/>
            </w:rPr>
            <w:t xml:space="preserve">   et al.</w:t>
          </w:r>
          <w:proofErr w:type="gramEnd"/>
          <w:r w:rsidRPr="004B363E">
            <w:rPr>
              <w:rFonts w:ascii="Palatino Linotype" w:eastAsia="Aptos" w:hAnsi="Palatino Linotype" w:cs="Times New Roman"/>
              <w:i/>
              <w:iCs/>
              <w:color w:val="000000"/>
              <w:kern w:val="2"/>
              <w:sz w:val="20"/>
              <w:szCs w:val="20"/>
              <w:lang w:val="en-US"/>
              <w14:ligatures w14:val="standardContextual"/>
            </w:rPr>
            <w:t xml:space="preserve"> </w:t>
          </w:r>
          <w:r w:rsidRPr="004B363E">
            <w:rPr>
              <w:rFonts w:ascii="Palatino Linotype" w:eastAsia="Aptos" w:hAnsi="Palatino Linotype" w:cs="Times New Roman"/>
              <w:color w:val="000000"/>
              <w:kern w:val="2"/>
              <w:sz w:val="20"/>
              <w:szCs w:val="20"/>
              <w:lang w:val="en-US"/>
              <w14:ligatures w14:val="standardContextual"/>
            </w:rPr>
            <w:t xml:space="preserve">    (2025) </w:t>
          </w:r>
        </w:sdtContent>
      </w:sdt>
    </w:p>
    <w:p w:rsidR="004B363E"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These findings show that teacher readiness is a crucial factor in the application of AI in mathematics learning, as explained by </w:t>
      </w:r>
      <w:r w:rsidRPr="004B363E">
        <w:rPr>
          <w:rFonts w:ascii="Palatino Linotype" w:eastAsia="Aptos" w:hAnsi="Palatino Linotype" w:cs="Times New Roman"/>
          <w:i/>
          <w:iCs/>
          <w:kern w:val="2"/>
          <w:sz w:val="20"/>
          <w:szCs w:val="20"/>
          <w:lang w:val="en-US"/>
          <w14:ligatures w14:val="standardContextual"/>
        </w:rPr>
        <w:t>Teacher Readiness Theory</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"/>
          <w:id w:val="-1020158343"/>
          <w:placeholder>
            <w:docPart w:val="DE3F7B4DD5DF4B4BA8BCB437238CAE48"/>
          </w:placeholder>
        </w:sdtPr>
        <w:sdtContent>
          <w:r w:rsidRPr="004B363E">
            <w:rPr>
              <w:rFonts w:ascii="Palatino Linotype" w:eastAsia="Times New Roman" w:hAnsi="Palatino Linotype" w:cs="Times New Roman"/>
              <w:color w:val="000000"/>
              <w:kern w:val="2"/>
              <w:sz w:val="20"/>
              <w:szCs w:val="20"/>
              <w:lang w:val="en-US"/>
              <w14:ligatures w14:val="standardContextual"/>
            </w:rPr>
            <w:t xml:space="preserve">   (</w:t>
          </w:r>
          <w:proofErr w:type="spellStart"/>
          <w:r w:rsidRPr="004B363E">
            <w:rPr>
              <w:rFonts w:ascii="Palatino Linotype" w:eastAsia="Times New Roman" w:hAnsi="Palatino Linotype" w:cs="Times New Roman"/>
              <w:color w:val="000000"/>
              <w:kern w:val="2"/>
              <w:sz w:val="20"/>
              <w:szCs w:val="20"/>
              <w:lang w:val="en-US"/>
              <w14:ligatures w14:val="standardContextual"/>
            </w:rPr>
            <w:t>Rahmawati</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&amp; Sari, 2023</w:t>
          </w:r>
          <w:proofErr w:type="gramStart"/>
          <w:r w:rsidRPr="004B363E">
            <w:rPr>
              <w:rFonts w:ascii="Palatino Linotype" w:eastAsia="Times New Roman" w:hAnsi="Palatino Linotype" w:cs="Times New Roman"/>
              <w:color w:val="000000"/>
              <w:kern w:val="2"/>
              <w:sz w:val="20"/>
              <w:szCs w:val="20"/>
              <w:lang w:val="en-US"/>
              <w14:ligatures w14:val="standardContextual"/>
            </w:rPr>
            <w:t xml:space="preserve">) </w:t>
          </w:r>
          <w:proofErr w:type="gramEnd"/>
        </w:sdtContent>
      </w:sdt>
      <w:r w:rsidRPr="004B363E">
        <w:rPr>
          <w:rFonts w:ascii="Palatino Linotype" w:eastAsia="Aptos" w:hAnsi="Palatino Linotype" w:cs="Times New Roman"/>
          <w:kern w:val="2"/>
          <w:sz w:val="20"/>
          <w:szCs w:val="20"/>
          <w:lang w:val="en-US"/>
          <w14:ligatures w14:val="standardContextual"/>
        </w:rPr>
        <w:t xml:space="preserve">. In this context, aspects of teacher readiness that include the cognitive, affective, and instrumental domains have not developed proportionally. Teachers have high enthusiasm, but their technical abilities and institutional support are still limited. This is in line </w:t>
      </w:r>
      <w:proofErr w:type="gramStart"/>
      <w:r w:rsidRPr="004B363E">
        <w:rPr>
          <w:rFonts w:ascii="Palatino Linotype" w:eastAsia="Aptos" w:hAnsi="Palatino Linotype" w:cs="Times New Roman"/>
          <w:kern w:val="2"/>
          <w:sz w:val="20"/>
          <w:szCs w:val="20"/>
          <w:lang w:val="en-US"/>
          <w14:ligatures w14:val="standardContextual"/>
        </w:rPr>
        <w:t xml:space="preserve">with </w:t>
      </w:r>
      <w:r w:rsidRPr="004B363E">
        <w:rPr>
          <w:rFonts w:ascii="Palatino Linotype" w:eastAsia="Aptos" w:hAnsi="Palatino Linotype" w:cs="Times New Roman"/>
          <w:i/>
          <w:iCs/>
          <w:kern w:val="2"/>
          <w:sz w:val="20"/>
          <w:szCs w:val="20"/>
          <w:lang w:val="en-US"/>
          <w14:ligatures w14:val="standardContextual"/>
        </w:rPr>
        <w:t xml:space="preserve"> the</w:t>
      </w:r>
      <w:proofErr w:type="gramEnd"/>
      <w:r w:rsidRPr="004B363E">
        <w:rPr>
          <w:rFonts w:ascii="Palatino Linotype" w:eastAsia="Aptos" w:hAnsi="Palatino Linotype" w:cs="Times New Roman"/>
          <w:i/>
          <w:iCs/>
          <w:kern w:val="2"/>
          <w:sz w:val="20"/>
          <w:szCs w:val="20"/>
          <w:lang w:val="en-US"/>
          <w14:ligatures w14:val="standardContextual"/>
        </w:rPr>
        <w:t xml:space="preserve"> Technology Acceptance Model (TAM) </w:t>
      </w:r>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"/>
          <w:id w:val="755865479"/>
          <w:placeholder>
            <w:docPart w:val="DE3F7B4DD5DF4B4BA8BCB437238CAE48"/>
          </w:placeholder>
        </w:sdtPr>
        <w:sdtContent>
          <w:r w:rsidRPr="004B363E">
            <w:rPr>
              <w:rFonts w:ascii="Palatino Linotype" w:eastAsia="Aptos" w:hAnsi="Palatino Linotype" w:cs="Times New Roman"/>
              <w:color w:val="000000"/>
              <w:kern w:val="2"/>
              <w:sz w:val="20"/>
              <w:szCs w:val="20"/>
              <w:lang w:val="en-US"/>
              <w14:ligatures w14:val="standardContextual"/>
            </w:rPr>
            <w:t xml:space="preserve">   (Davis, 1989) </w:t>
          </w:r>
        </w:sdtContent>
      </w:sdt>
      <w:r w:rsidRPr="004B363E">
        <w:rPr>
          <w:rFonts w:ascii="Palatino Linotype" w:eastAsia="Aptos" w:hAnsi="Palatino Linotype" w:cs="Times New Roman"/>
          <w:kern w:val="2"/>
          <w:sz w:val="20"/>
          <w:szCs w:val="20"/>
          <w:lang w:val="en-US"/>
          <w14:ligatures w14:val="standardContextual"/>
        </w:rPr>
        <w:t xml:space="preserve"> framework, where the perception of the benefits of AI is relatively high, but the perception of its ease of use is still low due to limited resources and lack of training.</w:t>
      </w:r>
    </w:p>
    <w:p w:rsidR="004B363E"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Theoretically, the results of this study expand the application of </w:t>
      </w:r>
      <w:r w:rsidRPr="004B363E">
        <w:rPr>
          <w:rFonts w:ascii="Palatino Linotype" w:eastAsia="Aptos" w:hAnsi="Palatino Linotype" w:cs="Times New Roman"/>
          <w:i/>
          <w:iCs/>
          <w:kern w:val="2"/>
          <w:sz w:val="20"/>
          <w:szCs w:val="20"/>
          <w:lang w:val="en-US"/>
          <w14:ligatures w14:val="standardContextual"/>
        </w:rPr>
        <w:t>Teacher Readiness Theory</w:t>
      </w:r>
      <w:r w:rsidRPr="004B363E">
        <w:rPr>
          <w:rFonts w:ascii="Palatino Linotype" w:eastAsia="Aptos" w:hAnsi="Palatino Linotype" w:cs="Times New Roman"/>
          <w:kern w:val="2"/>
          <w:sz w:val="20"/>
          <w:szCs w:val="20"/>
          <w:lang w:val="en-US"/>
          <w14:ligatures w14:val="standardContextual"/>
        </w:rPr>
        <w:t xml:space="preserve"> and TAM in the context of mathematics learning, especially in the field of geometry that requires the ability to visualize and explore spatiality. Meanwhile, from the practical side, this study emphasizes the need for a gradual implementation strategy that includes increasing teacher capacity, strengthening digital infrastructure, and providing continuous professional training. Governments and educational institutions are expected to build policies that support collaboration between teachers and technology developers, as suggested </w:t>
      </w:r>
      <w:proofErr w:type="gramStart"/>
      <w:r w:rsidRPr="004B363E">
        <w:rPr>
          <w:rFonts w:ascii="Palatino Linotype" w:eastAsia="Aptos" w:hAnsi="Palatino Linotype" w:cs="Times New Roman"/>
          <w:kern w:val="2"/>
          <w:sz w:val="20"/>
          <w:szCs w:val="20"/>
          <w:lang w:val="en-US"/>
          <w14:ligatures w14:val="standardContextual"/>
        </w:rPr>
        <w:t>by .</w:t>
      </w:r>
      <w:proofErr w:type="gramEnd"/>
      <w:sdt>
        <w:sdtPr>
          <w:rPr>
            <w:rFonts w:ascii="Palatino Linotype" w:eastAsia="Aptos" w:hAnsi="Palatino Linotype" w:cs="Times New Roman"/>
            <w:color w:val="000000"/>
            <w:kern w:val="2"/>
            <w:sz w:val="20"/>
            <w:szCs w:val="20"/>
            <w:lang w:val="en-US"/>
            <w14:ligatures w14:val="standardContextual"/>
          </w:rPr>
          <w:tag w:val="MENDELEY_CITATION_v3_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"/>
          <w:id w:val="-1933882564"/>
          <w:placeholder>
            <w:docPart w:val="DE3F7B4DD5DF4B4BA8BCB437238CAE48"/>
          </w:placeholder>
        </w:sdtPr>
        <w:sdtContent>
          <w:r w:rsidRPr="004B363E">
            <w:rPr>
              <w:rFonts w:ascii="Palatino Linotype" w:eastAsia="Times New Roman" w:hAnsi="Palatino Linotype" w:cs="Times New Roman"/>
              <w:color w:val="000000"/>
              <w:kern w:val="2"/>
              <w:sz w:val="20"/>
              <w:szCs w:val="20"/>
              <w:lang w:val="en-US"/>
              <w14:ligatures w14:val="standardContextual"/>
            </w:rPr>
            <w:t xml:space="preserve">   </w:t>
          </w:r>
          <w:proofErr w:type="spellStart"/>
          <w:r w:rsidRPr="004B363E">
            <w:rPr>
              <w:rFonts w:ascii="Palatino Linotype" w:eastAsia="Times New Roman" w:hAnsi="Palatino Linotype" w:cs="Times New Roman"/>
              <w:color w:val="000000"/>
              <w:kern w:val="2"/>
              <w:sz w:val="20"/>
              <w:szCs w:val="20"/>
              <w:lang w:val="en-US"/>
              <w14:ligatures w14:val="standardContextual"/>
            </w:rPr>
            <w:t>Santoso</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&amp; </w:t>
          </w:r>
          <w:proofErr w:type="spellStart"/>
          <w:r w:rsidRPr="004B363E">
            <w:rPr>
              <w:rFonts w:ascii="Palatino Linotype" w:eastAsia="Times New Roman" w:hAnsi="Palatino Linotype" w:cs="Times New Roman"/>
              <w:color w:val="000000"/>
              <w:kern w:val="2"/>
              <w:sz w:val="20"/>
              <w:szCs w:val="20"/>
              <w:lang w:val="en-US"/>
              <w14:ligatures w14:val="standardContextual"/>
            </w:rPr>
            <w:t>Utami</w:t>
          </w:r>
          <w:proofErr w:type="spellEnd"/>
          <w:r w:rsidRPr="004B363E">
            <w:rPr>
              <w:rFonts w:ascii="Palatino Linotype" w:eastAsia="Times New Roman" w:hAnsi="Palatino Linotype" w:cs="Times New Roman"/>
              <w:color w:val="000000"/>
              <w:kern w:val="2"/>
              <w:sz w:val="20"/>
              <w:szCs w:val="20"/>
              <w:lang w:val="en-US"/>
              <w14:ligatures w14:val="standardContextual"/>
            </w:rPr>
            <w:t xml:space="preserve"> (2022) </w:t>
          </w:r>
        </w:sdtContent>
      </w:sdt>
    </w:p>
    <w:p w:rsidR="004B363E" w:rsidRPr="004B363E" w:rsidRDefault="004B363E" w:rsidP="004B363E">
      <w:pPr>
        <w:keepNext/>
        <w:spacing w:after="200" w:line="240" w:lineRule="auto"/>
        <w:contextualSpacing/>
        <w:rPr>
          <w:rFonts w:ascii="Palatino Linotype" w:eastAsia="Aptos" w:hAnsi="Palatino Linotype" w:cs="Times New Roman"/>
          <w:i/>
          <w:iCs/>
          <w:kern w:val="2"/>
          <w:sz w:val="20"/>
          <w:szCs w:val="20"/>
          <w:lang w:val="en-US"/>
          <w14:ligatures w14:val="standardContextual"/>
        </w:rPr>
      </w:pPr>
      <w:proofErr w:type="gramStart"/>
      <w:r w:rsidRPr="004B363E">
        <w:rPr>
          <w:rFonts w:ascii="Palatino Linotype" w:eastAsia="Aptos" w:hAnsi="Palatino Linotype" w:cs="Times New Roman"/>
          <w:bCs/>
          <w:i/>
          <w:iCs/>
          <w:kern w:val="2"/>
          <w:sz w:val="20"/>
          <w:szCs w:val="20"/>
          <w:lang w:val="en-US"/>
          <w14:ligatures w14:val="standardContextual"/>
        </w:rPr>
        <w:t xml:space="preserve">Table </w:t>
      </w:r>
      <w:r w:rsidRPr="004B363E">
        <w:rPr>
          <w:rFonts w:ascii="Palatino Linotype" w:eastAsia="Aptos" w:hAnsi="Palatino Linotype" w:cs="Times New Roman"/>
          <w:bCs/>
          <w:i/>
          <w:iCs/>
          <w:kern w:val="2"/>
          <w:sz w:val="20"/>
          <w:szCs w:val="20"/>
          <w:lang w:val="en-US"/>
          <w14:ligatures w14:val="standardContextual"/>
        </w:rPr>
        <w:fldChar w:fldCharType="begin"/>
      </w:r>
      <w:r w:rsidRPr="004B363E">
        <w:rPr>
          <w:rFonts w:ascii="Palatino Linotype" w:eastAsia="Aptos" w:hAnsi="Palatino Linotype" w:cs="Times New Roman"/>
          <w:bCs/>
          <w:i/>
          <w:iCs/>
          <w:kern w:val="2"/>
          <w:sz w:val="20"/>
          <w:szCs w:val="20"/>
          <w:lang w:val="en-US"/>
          <w14:ligatures w14:val="standardContextual"/>
        </w:rPr>
        <w:instrText xml:space="preserve"> SEQ Tabel \* ARABIC \s 1 </w:instrText>
      </w:r>
      <w:r w:rsidRPr="004B363E">
        <w:rPr>
          <w:rFonts w:ascii="Palatino Linotype" w:eastAsia="Aptos" w:hAnsi="Palatino Linotype" w:cs="Times New Roman"/>
          <w:bCs/>
          <w:i/>
          <w:iCs/>
          <w:kern w:val="2"/>
          <w:sz w:val="20"/>
          <w:szCs w:val="20"/>
          <w:lang w:val="en-US"/>
          <w14:ligatures w14:val="standardContextual"/>
        </w:rPr>
        <w:fldChar w:fldCharType="separate"/>
      </w:r>
      <w:r w:rsidRPr="004B363E">
        <w:rPr>
          <w:rFonts w:ascii="Palatino Linotype" w:eastAsia="Aptos" w:hAnsi="Palatino Linotype" w:cs="Times New Roman"/>
          <w:bCs/>
          <w:i/>
          <w:iCs/>
          <w:noProof/>
          <w:kern w:val="2"/>
          <w:sz w:val="20"/>
          <w:szCs w:val="20"/>
          <w:lang w:val="en-US"/>
          <w14:ligatures w14:val="standardContextual"/>
        </w:rPr>
        <w:t>1</w:t>
      </w:r>
      <w:r w:rsidRPr="004B363E">
        <w:rPr>
          <w:rFonts w:ascii="Palatino Linotype" w:eastAsia="Aptos" w:hAnsi="Palatino Linotype" w:cs="Times New Roman"/>
          <w:bCs/>
          <w:i/>
          <w:iCs/>
          <w:kern w:val="2"/>
          <w:sz w:val="20"/>
          <w:szCs w:val="20"/>
          <w:lang w:val="en-US"/>
          <w14:ligatures w14:val="standardContextual"/>
        </w:rPr>
        <w:fldChar w:fldCharType="end"/>
      </w:r>
      <w:r w:rsidRPr="004B363E">
        <w:rPr>
          <w:rFonts w:ascii="Palatino Linotype" w:eastAsia="Aptos" w:hAnsi="Palatino Linotype" w:cs="Times New Roman"/>
          <w:bCs/>
          <w:i/>
          <w:iCs/>
          <w:kern w:val="2"/>
          <w:sz w:val="20"/>
          <w:szCs w:val="20"/>
          <w:lang w:val="en-US"/>
          <w14:ligatures w14:val="standardContextual"/>
        </w:rPr>
        <w:t>.</w:t>
      </w:r>
      <w:proofErr w:type="gramEnd"/>
      <w:r w:rsidRPr="004B363E">
        <w:rPr>
          <w:rFonts w:ascii="Palatino Linotype" w:eastAsia="Aptos" w:hAnsi="Palatino Linotype" w:cs="Times New Roman"/>
          <w:i/>
          <w:iCs/>
          <w:kern w:val="2"/>
          <w:sz w:val="20"/>
          <w:szCs w:val="20"/>
          <w:lang w:val="en-US"/>
          <w14:ligatures w14:val="standardContextual"/>
        </w:rPr>
        <w:t xml:space="preserve"> Teachers' Thematic Analysis of the Use of AI in Geometry Learning</w:t>
      </w:r>
    </w:p>
    <w:tbl>
      <w:tblPr>
        <w:tblW w:w="8643" w:type="dxa"/>
        <w:jc w:val="center"/>
        <w:tblLook w:val="04A0" w:firstRow="1" w:lastRow="0" w:firstColumn="1" w:lastColumn="0" w:noHBand="0" w:noVBand="1"/>
      </w:tblPr>
      <w:tblGrid>
        <w:gridCol w:w="1675"/>
        <w:gridCol w:w="2128"/>
        <w:gridCol w:w="1971"/>
        <w:gridCol w:w="1777"/>
        <w:gridCol w:w="1691"/>
      </w:tblGrid>
      <w:tr w:rsidR="004B363E" w:rsidRPr="004B363E" w:rsidTr="00FE7967">
        <w:trPr>
          <w:trHeight w:val="528"/>
          <w:tblHeader/>
          <w:jc w:val="center"/>
        </w:trPr>
        <w:tc>
          <w:tcPr>
            <w:tcW w:w="0" w:type="auto"/>
            <w:tcBorders>
              <w:top w:val="nil"/>
              <w:left w:val="nil"/>
              <w:bottom w:val="nil"/>
              <w:right w:val="nil"/>
            </w:tcBorders>
            <w:noWrap/>
            <w:vAlign w:val="bottom"/>
            <w:hideMark/>
          </w:tcPr>
          <w:p w:rsidR="004B363E" w:rsidRPr="004B363E" w:rsidRDefault="004B363E" w:rsidP="004B363E">
            <w:pPr>
              <w:spacing w:after="0" w:line="240" w:lineRule="auto"/>
              <w:contextualSpacing/>
              <w:rPr>
                <w:rFonts w:ascii="Palatino Linotype" w:eastAsia="Times New Roman" w:hAnsi="Palatino Linotype"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000000" w:fill="F0F0F0"/>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 xml:space="preserve">Narrative of </w:t>
            </w:r>
            <w:proofErr w:type="spellStart"/>
            <w:r w:rsidRPr="004B363E">
              <w:rPr>
                <w:rFonts w:ascii="Palatino Linotype" w:eastAsia="Times New Roman" w:hAnsi="Palatino Linotype" w:cs="Times New Roman"/>
                <w:bCs/>
                <w:color w:val="000000"/>
                <w:sz w:val="20"/>
                <w:szCs w:val="20"/>
                <w:lang w:val="en-US"/>
              </w:rPr>
              <w:t>Ibu</w:t>
            </w:r>
            <w:proofErr w:type="spellEnd"/>
            <w:r w:rsidRPr="004B363E">
              <w:rPr>
                <w:rFonts w:ascii="Palatino Linotype" w:eastAsia="Times New Roman" w:hAnsi="Palatino Linotype" w:cs="Times New Roman"/>
                <w:bCs/>
                <w:color w:val="000000"/>
                <w:sz w:val="20"/>
                <w:szCs w:val="20"/>
                <w:lang w:val="en-US"/>
              </w:rPr>
              <w:t xml:space="preserve"> </w:t>
            </w:r>
            <w:proofErr w:type="spellStart"/>
            <w:r w:rsidRPr="004B363E">
              <w:rPr>
                <w:rFonts w:ascii="Palatino Linotype" w:eastAsia="Times New Roman" w:hAnsi="Palatino Linotype" w:cs="Times New Roman"/>
                <w:bCs/>
                <w:color w:val="000000"/>
                <w:sz w:val="20"/>
                <w:szCs w:val="20"/>
                <w:lang w:val="en-US"/>
              </w:rPr>
              <w:t>Hasri's</w:t>
            </w:r>
            <w:proofErr w:type="spellEnd"/>
            <w:r w:rsidRPr="004B363E">
              <w:rPr>
                <w:rFonts w:ascii="Palatino Linotype" w:eastAsia="Times New Roman" w:hAnsi="Palatino Linotype" w:cs="Times New Roman"/>
                <w:bCs/>
                <w:color w:val="000000"/>
                <w:sz w:val="20"/>
                <w:szCs w:val="20"/>
                <w:lang w:val="en-US"/>
              </w:rPr>
              <w:t xml:space="preserve"> Observation</w:t>
            </w:r>
          </w:p>
        </w:tc>
        <w:tc>
          <w:tcPr>
            <w:tcW w:w="0" w:type="auto"/>
            <w:tcBorders>
              <w:top w:val="single" w:sz="4" w:space="0" w:color="auto"/>
              <w:left w:val="nil"/>
              <w:bottom w:val="single" w:sz="4" w:space="0" w:color="auto"/>
              <w:right w:val="single" w:sz="4" w:space="0" w:color="auto"/>
            </w:tcBorders>
            <w:shd w:val="clear" w:color="000000" w:fill="F0F0F0"/>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 xml:space="preserve">Pak </w:t>
            </w:r>
            <w:proofErr w:type="spellStart"/>
            <w:r w:rsidRPr="004B363E">
              <w:rPr>
                <w:rFonts w:ascii="Palatino Linotype" w:eastAsia="Times New Roman" w:hAnsi="Palatino Linotype" w:cs="Times New Roman"/>
                <w:bCs/>
                <w:color w:val="000000"/>
                <w:sz w:val="20"/>
                <w:szCs w:val="20"/>
                <w:lang w:val="en-US"/>
              </w:rPr>
              <w:t>Ardi's</w:t>
            </w:r>
            <w:proofErr w:type="spellEnd"/>
            <w:r w:rsidRPr="004B363E">
              <w:rPr>
                <w:rFonts w:ascii="Palatino Linotype" w:eastAsia="Times New Roman" w:hAnsi="Palatino Linotype" w:cs="Times New Roman"/>
                <w:bCs/>
                <w:color w:val="000000"/>
                <w:sz w:val="20"/>
                <w:szCs w:val="20"/>
                <w:lang w:val="en-US"/>
              </w:rPr>
              <w:t xml:space="preserve"> Observation Narrative</w:t>
            </w:r>
          </w:p>
        </w:tc>
        <w:tc>
          <w:tcPr>
            <w:tcW w:w="0" w:type="auto"/>
            <w:tcBorders>
              <w:top w:val="single" w:sz="4" w:space="0" w:color="auto"/>
              <w:left w:val="nil"/>
              <w:bottom w:val="single" w:sz="4" w:space="0" w:color="auto"/>
              <w:right w:val="single" w:sz="4" w:space="0" w:color="auto"/>
            </w:tcBorders>
            <w:shd w:val="clear" w:color="000000" w:fill="F0F0F0"/>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 xml:space="preserve">Interview Script of Mrs. </w:t>
            </w:r>
            <w:proofErr w:type="spellStart"/>
            <w:r w:rsidRPr="004B363E">
              <w:rPr>
                <w:rFonts w:ascii="Palatino Linotype" w:eastAsia="Times New Roman" w:hAnsi="Palatino Linotype" w:cs="Times New Roman"/>
                <w:bCs/>
                <w:color w:val="000000"/>
                <w:sz w:val="20"/>
                <w:szCs w:val="20"/>
                <w:lang w:val="en-US"/>
              </w:rPr>
              <w:t>Hasri</w:t>
            </w:r>
            <w:proofErr w:type="spellEnd"/>
          </w:p>
        </w:tc>
        <w:tc>
          <w:tcPr>
            <w:tcW w:w="0" w:type="auto"/>
            <w:tcBorders>
              <w:top w:val="single" w:sz="4" w:space="0" w:color="auto"/>
              <w:left w:val="nil"/>
              <w:bottom w:val="single" w:sz="4" w:space="0" w:color="auto"/>
              <w:right w:val="single" w:sz="4" w:space="0" w:color="auto"/>
            </w:tcBorders>
            <w:shd w:val="clear" w:color="000000" w:fill="F0F0F0"/>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 xml:space="preserve">Interview Script of Pak </w:t>
            </w:r>
            <w:proofErr w:type="spellStart"/>
            <w:r w:rsidRPr="004B363E">
              <w:rPr>
                <w:rFonts w:ascii="Palatino Linotype" w:eastAsia="Times New Roman" w:hAnsi="Palatino Linotype" w:cs="Times New Roman"/>
                <w:bCs/>
                <w:color w:val="000000"/>
                <w:sz w:val="20"/>
                <w:szCs w:val="20"/>
                <w:lang w:val="en-US"/>
              </w:rPr>
              <w:t>Ardi</w:t>
            </w:r>
            <w:proofErr w:type="spellEnd"/>
          </w:p>
        </w:tc>
      </w:tr>
      <w:tr w:rsidR="004B363E" w:rsidRPr="004B363E" w:rsidTr="00FE7967">
        <w:trPr>
          <w:trHeight w:val="528"/>
          <w:jc w:val="center"/>
        </w:trPr>
        <w:tc>
          <w:tcPr>
            <w:tcW w:w="0" w:type="auto"/>
            <w:tcBorders>
              <w:top w:val="single" w:sz="4" w:space="0" w:color="000000"/>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AI in Geometry Learning</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Teacher's Perception</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Critical Attitude and Ethics</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Pedagogical Understanding</w:t>
            </w:r>
          </w:p>
        </w:tc>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AI Awareness</w:t>
            </w:r>
          </w:p>
        </w:tc>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Teacher Readiness</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Motivation and Enthusiasm</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proofErr w:type="spellStart"/>
            <w:r w:rsidRPr="004B363E">
              <w:rPr>
                <w:rFonts w:ascii="Palatino Linotype" w:eastAsia="Times New Roman" w:hAnsi="Palatino Linotype" w:cs="Times New Roman"/>
                <w:bCs/>
                <w:color w:val="000000"/>
                <w:sz w:val="20"/>
                <w:szCs w:val="20"/>
                <w:lang w:val="en-US"/>
              </w:rPr>
              <w:t>Digitral</w:t>
            </w:r>
            <w:proofErr w:type="spellEnd"/>
            <w:r w:rsidRPr="004B363E">
              <w:rPr>
                <w:rFonts w:ascii="Palatino Linotype" w:eastAsia="Times New Roman" w:hAnsi="Palatino Linotype" w:cs="Times New Roman"/>
                <w:bCs/>
                <w:color w:val="000000"/>
                <w:sz w:val="20"/>
                <w:szCs w:val="20"/>
                <w:lang w:val="en-US"/>
              </w:rPr>
              <w:t xml:space="preserve"> Competencies</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Institutional Support</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AI Implementation</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Digital Learning Practices</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Technical barriers</w:t>
            </w:r>
          </w:p>
        </w:tc>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infrastructure support</w:t>
            </w:r>
          </w:p>
        </w:tc>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Development Expectations</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Adaptive Learning</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Training and Mentoring</w:t>
            </w:r>
          </w:p>
        </w:tc>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r w:rsidR="004B363E" w:rsidRPr="004B363E" w:rsidTr="00FE7967">
        <w:trPr>
          <w:trHeight w:val="528"/>
          <w:jc w:val="center"/>
        </w:trPr>
        <w:tc>
          <w:tcPr>
            <w:tcW w:w="0" w:type="auto"/>
            <w:tcBorders>
              <w:top w:val="nil"/>
              <w:left w:val="nil"/>
              <w:bottom w:val="single" w:sz="4" w:space="0" w:color="000000"/>
              <w:right w:val="nil"/>
            </w:tcBorders>
            <w:shd w:val="clear" w:color="FFFFFF" w:fill="F0F0F0"/>
            <w:noWrap/>
            <w:vAlign w:val="center"/>
            <w:hideMark/>
          </w:tcPr>
          <w:p w:rsidR="004B363E" w:rsidRPr="004B363E" w:rsidRDefault="004B363E" w:rsidP="004B363E">
            <w:pPr>
              <w:spacing w:after="0" w:line="240" w:lineRule="auto"/>
              <w:contextualSpacing/>
              <w:rPr>
                <w:rFonts w:ascii="Palatino Linotype" w:eastAsia="Times New Roman" w:hAnsi="Palatino Linotype" w:cs="Times New Roman"/>
                <w:bCs/>
                <w:color w:val="000000"/>
                <w:sz w:val="20"/>
                <w:szCs w:val="20"/>
                <w:lang w:val="en-US"/>
              </w:rPr>
            </w:pPr>
            <w:r w:rsidRPr="004B363E">
              <w:rPr>
                <w:rFonts w:ascii="Palatino Linotype" w:eastAsia="Times New Roman" w:hAnsi="Palatino Linotype" w:cs="Times New Roman"/>
                <w:bCs/>
                <w:color w:val="000000"/>
                <w:sz w:val="20"/>
                <w:szCs w:val="20"/>
                <w:lang w:val="en-US"/>
              </w:rPr>
              <w:t>Curriculum Innovation</w:t>
            </w:r>
          </w:p>
        </w:tc>
        <w:tc>
          <w:tcPr>
            <w:tcW w:w="0" w:type="auto"/>
            <w:tcBorders>
              <w:top w:val="nil"/>
              <w:left w:val="single" w:sz="4" w:space="0" w:color="auto"/>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noWrap/>
            <w:vAlign w:val="center"/>
            <w:hideMark/>
          </w:tcPr>
          <w:p w:rsidR="004B363E" w:rsidRPr="004B363E" w:rsidRDefault="004B363E" w:rsidP="004B363E">
            <w:pPr>
              <w:spacing w:after="0" w:line="240" w:lineRule="auto"/>
              <w:contextualSpacing/>
              <w:jc w:val="center"/>
              <w:rPr>
                <w:rFonts w:ascii="Palatino Linotype" w:eastAsia="Times New Roman" w:hAnsi="Palatino Linotype" w:cs="Times New Roman"/>
                <w:sz w:val="20"/>
                <w:szCs w:val="20"/>
                <w:lang w:val="en-US"/>
              </w:rPr>
            </w:pPr>
            <w:r w:rsidRPr="004B363E">
              <w:rPr>
                <w:rFonts w:ascii="Palatino Linotype" w:eastAsia="Times New Roman" w:hAnsi="Palatino Linotype" w:cs="Times New Roman"/>
                <w:sz w:val="20"/>
                <w:szCs w:val="20"/>
                <w:lang w:val="en-US"/>
              </w:rPr>
              <w:t>Yes</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rsidR="004B363E" w:rsidRPr="004B363E" w:rsidRDefault="004B363E" w:rsidP="004B363E">
            <w:pPr>
              <w:keepNext/>
              <w:spacing w:after="0" w:line="240" w:lineRule="auto"/>
              <w:contextualSpacing/>
              <w:jc w:val="center"/>
              <w:rPr>
                <w:rFonts w:ascii="Palatino Linotype" w:eastAsia="Times New Roman" w:hAnsi="Palatino Linotype" w:cs="Times New Roman"/>
                <w:color w:val="000000"/>
                <w:sz w:val="20"/>
                <w:szCs w:val="20"/>
                <w:lang w:val="en-US"/>
              </w:rPr>
            </w:pPr>
            <w:r w:rsidRPr="004B363E">
              <w:rPr>
                <w:rFonts w:ascii="Palatino Linotype" w:eastAsia="Times New Roman" w:hAnsi="Palatino Linotype" w:cs="Times New Roman"/>
                <w:color w:val="000000"/>
                <w:sz w:val="20"/>
                <w:szCs w:val="20"/>
                <w:lang w:val="en-US"/>
              </w:rPr>
              <w:t>Yes</w:t>
            </w:r>
          </w:p>
        </w:tc>
      </w:tr>
    </w:tbl>
    <w:p w:rsidR="004B363E" w:rsidRPr="004B363E" w:rsidRDefault="004B363E" w:rsidP="004B363E">
      <w:pPr>
        <w:spacing w:after="200" w:line="240" w:lineRule="auto"/>
        <w:contextualSpacing/>
        <w:jc w:val="center"/>
        <w:rPr>
          <w:rFonts w:ascii="Palatino Linotype" w:eastAsia="Aptos" w:hAnsi="Palatino Linotype" w:cs="Times New Roman"/>
          <w:i/>
          <w:iCs/>
          <w:kern w:val="2"/>
          <w:sz w:val="20"/>
          <w:szCs w:val="20"/>
          <w:lang w:val="en-US"/>
          <w14:ligatures w14:val="standardContextual"/>
        </w:rPr>
      </w:pPr>
      <w:r w:rsidRPr="004B363E">
        <w:rPr>
          <w:rFonts w:ascii="Palatino Linotype" w:eastAsia="Aptos" w:hAnsi="Palatino Linotype" w:cs="Times New Roman"/>
          <w:bCs/>
          <w:i/>
          <w:iCs/>
          <w:kern w:val="2"/>
          <w:sz w:val="20"/>
          <w:szCs w:val="20"/>
          <w:lang w:val="en-US"/>
          <w14:ligatures w14:val="standardContextual"/>
        </w:rPr>
        <w:t xml:space="preserve">Output </w:t>
      </w:r>
      <w:proofErr w:type="gramStart"/>
      <w:r w:rsidRPr="004B363E">
        <w:rPr>
          <w:rFonts w:ascii="Palatino Linotype" w:eastAsia="Aptos" w:hAnsi="Palatino Linotype" w:cs="Times New Roman"/>
          <w:bCs/>
          <w:i/>
          <w:iCs/>
          <w:kern w:val="2"/>
          <w:sz w:val="20"/>
          <w:szCs w:val="20"/>
          <w:lang w:val="en-US"/>
          <w14:ligatures w14:val="standardContextual"/>
        </w:rPr>
        <w:t>Table :</w:t>
      </w:r>
      <w:proofErr w:type="gramEnd"/>
      <w:r w:rsidRPr="004B363E">
        <w:rPr>
          <w:rFonts w:ascii="Palatino Linotype" w:eastAsia="Aptos" w:hAnsi="Palatino Linotype" w:cs="Times New Roman"/>
          <w:i/>
          <w:iCs/>
          <w:kern w:val="2"/>
          <w:sz w:val="20"/>
          <w:szCs w:val="20"/>
          <w:lang w:val="en-US"/>
          <w14:ligatures w14:val="standardContextual"/>
        </w:rPr>
        <w:t xml:space="preserve"> NVivo15 </w:t>
      </w:r>
    </w:p>
    <w:p w:rsidR="004B363E"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The limitations of this study lie in the narrow geographical range and the relatively small number of participants, so the generalization of the results needs to be done carefully. Advanced research can use </w:t>
      </w:r>
      <w:r w:rsidRPr="004B363E">
        <w:rPr>
          <w:rFonts w:ascii="Palatino Linotype" w:eastAsia="Aptos" w:hAnsi="Palatino Linotype" w:cs="Times New Roman"/>
          <w:i/>
          <w:iCs/>
          <w:kern w:val="2"/>
          <w:sz w:val="20"/>
          <w:szCs w:val="20"/>
          <w:lang w:val="en-US"/>
          <w14:ligatures w14:val="standardContextual"/>
        </w:rPr>
        <w:t>a mixed methods</w:t>
      </w:r>
      <w:r w:rsidRPr="004B363E">
        <w:rPr>
          <w:rFonts w:ascii="Palatino Linotype" w:eastAsia="Aptos" w:hAnsi="Palatino Linotype" w:cs="Times New Roman"/>
          <w:kern w:val="2"/>
          <w:sz w:val="20"/>
          <w:szCs w:val="20"/>
          <w:lang w:val="en-US"/>
          <w14:ligatures w14:val="standardContextual"/>
        </w:rPr>
        <w:t xml:space="preserve"> or </w:t>
      </w:r>
      <w:r w:rsidRPr="004B363E">
        <w:rPr>
          <w:rFonts w:ascii="Palatino Linotype" w:eastAsia="Aptos" w:hAnsi="Palatino Linotype" w:cs="Times New Roman"/>
          <w:i/>
          <w:iCs/>
          <w:kern w:val="2"/>
          <w:sz w:val="20"/>
          <w:szCs w:val="20"/>
          <w:lang w:val="en-US"/>
          <w14:ligatures w14:val="standardContextual"/>
        </w:rPr>
        <w:t>research and development (R&amp;D)</w:t>
      </w:r>
      <w:r w:rsidRPr="004B363E">
        <w:rPr>
          <w:rFonts w:ascii="Palatino Linotype" w:eastAsia="Aptos" w:hAnsi="Palatino Linotype" w:cs="Times New Roman"/>
          <w:kern w:val="2"/>
          <w:sz w:val="20"/>
          <w:szCs w:val="20"/>
          <w:lang w:val="en-US"/>
          <w14:ligatures w14:val="standardContextual"/>
        </w:rPr>
        <w:t xml:space="preserve"> </w:t>
      </w:r>
      <w:proofErr w:type="gramStart"/>
      <w:r w:rsidRPr="004B363E">
        <w:rPr>
          <w:rFonts w:ascii="Palatino Linotype" w:eastAsia="Aptos" w:hAnsi="Palatino Linotype" w:cs="Times New Roman"/>
          <w:kern w:val="2"/>
          <w:sz w:val="20"/>
          <w:szCs w:val="20"/>
          <w:lang w:val="en-US"/>
          <w14:ligatures w14:val="standardContextual"/>
        </w:rPr>
        <w:t>approach  to</w:t>
      </w:r>
      <w:proofErr w:type="gramEnd"/>
      <w:r w:rsidRPr="004B363E">
        <w:rPr>
          <w:rFonts w:ascii="Palatino Linotype" w:eastAsia="Aptos" w:hAnsi="Palatino Linotype" w:cs="Times New Roman"/>
          <w:kern w:val="2"/>
          <w:sz w:val="20"/>
          <w:szCs w:val="20"/>
          <w:lang w:val="en-US"/>
          <w14:ligatures w14:val="standardContextual"/>
        </w:rPr>
        <w:t xml:space="preserve"> develop and test AI-based geometry learning models directly in various school contexts.</w:t>
      </w:r>
    </w:p>
    <w:p w:rsidR="005B5AEC" w:rsidRPr="004B363E" w:rsidRDefault="004B363E" w:rsidP="004B363E">
      <w:pPr>
        <w:spacing w:line="240" w:lineRule="auto"/>
        <w:ind w:firstLine="426"/>
        <w:contextualSpacing/>
        <w:jc w:val="both"/>
        <w:rPr>
          <w:rFonts w:ascii="Palatino Linotype" w:eastAsia="Aptos" w:hAnsi="Palatino Linotype" w:cs="Times New Roman"/>
          <w:kern w:val="2"/>
          <w:sz w:val="20"/>
          <w:szCs w:val="20"/>
          <w:lang w:val="en-US"/>
          <w14:ligatures w14:val="standardContextual"/>
        </w:rPr>
      </w:pPr>
      <w:r w:rsidRPr="004B363E">
        <w:rPr>
          <w:rFonts w:ascii="Palatino Linotype" w:eastAsia="Aptos" w:hAnsi="Palatino Linotype" w:cs="Times New Roman"/>
          <w:kern w:val="2"/>
          <w:sz w:val="20"/>
          <w:szCs w:val="20"/>
          <w:lang w:val="en-US"/>
          <w14:ligatures w14:val="standardContextual"/>
        </w:rPr>
        <w:t xml:space="preserve">Overall, the results of this study show that the </w:t>
      </w:r>
      <w:proofErr w:type="gramStart"/>
      <w:r w:rsidRPr="004B363E">
        <w:rPr>
          <w:rFonts w:ascii="Palatino Linotype" w:eastAsia="Aptos" w:hAnsi="Palatino Linotype" w:cs="Times New Roman"/>
          <w:kern w:val="2"/>
          <w:sz w:val="20"/>
          <w:szCs w:val="20"/>
          <w:lang w:val="en-US"/>
          <w14:ligatures w14:val="standardContextual"/>
        </w:rPr>
        <w:t>success  of</w:t>
      </w:r>
      <w:proofErr w:type="gramEnd"/>
      <w:r w:rsidRPr="004B363E">
        <w:rPr>
          <w:rFonts w:ascii="Palatino Linotype" w:eastAsia="Aptos" w:hAnsi="Palatino Linotype" w:cs="Times New Roman"/>
          <w:kern w:val="2"/>
          <w:sz w:val="20"/>
          <w:szCs w:val="20"/>
          <w:lang w:val="en-US"/>
          <w14:ligatures w14:val="standardContextual"/>
        </w:rPr>
        <w:t xml:space="preserve"> the integration of </w:t>
      </w:r>
      <w:r w:rsidRPr="004B363E">
        <w:rPr>
          <w:rFonts w:ascii="Palatino Linotype" w:eastAsia="Aptos" w:hAnsi="Palatino Linotype" w:cs="Times New Roman"/>
          <w:i/>
          <w:iCs/>
          <w:kern w:val="2"/>
          <w:sz w:val="20"/>
          <w:szCs w:val="20"/>
          <w:lang w:val="en-US"/>
          <w14:ligatures w14:val="standardContextual"/>
        </w:rPr>
        <w:t>Artificial Intelligence</w:t>
      </w:r>
      <w:r w:rsidRPr="004B363E">
        <w:rPr>
          <w:rFonts w:ascii="Palatino Linotype" w:eastAsia="Aptos" w:hAnsi="Palatino Linotype" w:cs="Times New Roman"/>
          <w:kern w:val="2"/>
          <w:sz w:val="20"/>
          <w:szCs w:val="20"/>
          <w:lang w:val="en-US"/>
          <w14:ligatures w14:val="standardContextual"/>
        </w:rPr>
        <w:t xml:space="preserve"> in geometry learning in Indonesia is highly dependent on the pedagogical readiness of teachers, the availability of adequate infrastructure, and policy support that is adaptive to digital changes in the world of education.</w:t>
      </w:r>
    </w:p>
    <w:p w:rsidR="005B5AEC" w:rsidRPr="00723B12" w:rsidRDefault="00C131D0" w:rsidP="002A02C2">
      <w:pPr>
        <w:pStyle w:val="Alishlah21heading1"/>
        <w:rPr>
          <w:rFonts w:eastAsia="Arial"/>
        </w:rPr>
      </w:pPr>
      <w:r>
        <w:rPr>
          <w:rFonts w:eastAsia="Arial"/>
        </w:rPr>
        <w:t>C</w:t>
      </w:r>
      <w:r w:rsidR="005B5AEC" w:rsidRPr="00723B12">
        <w:rPr>
          <w:rFonts w:eastAsia="Arial"/>
        </w:rPr>
        <w:t xml:space="preserve">ONCLUSION </w:t>
      </w:r>
    </w:p>
    <w:p w:rsidR="004B363E" w:rsidRPr="004B363E" w:rsidRDefault="004B363E" w:rsidP="004B363E">
      <w:pPr>
        <w:pStyle w:val="Alishlah21heading1"/>
        <w:numPr>
          <w:ilvl w:val="0"/>
          <w:numId w:val="0"/>
        </w:numPr>
        <w:ind w:firstLine="360"/>
        <w:jc w:val="both"/>
        <w:rPr>
          <w:b w:val="0"/>
          <w:snapToGrid/>
          <w:color w:val="auto"/>
          <w:szCs w:val="20"/>
          <w:lang w:eastAsia="en-US" w:bidi="ar-SA"/>
        </w:rPr>
      </w:pPr>
      <w:r w:rsidRPr="004B363E">
        <w:rPr>
          <w:b w:val="0"/>
          <w:snapToGrid/>
          <w:color w:val="auto"/>
          <w:szCs w:val="20"/>
          <w:lang w:eastAsia="en-US" w:bidi="ar-SA"/>
        </w:rPr>
        <w:t xml:space="preserve">This study shows that the application of Artificial Intelligence-based geometry </w:t>
      </w:r>
      <w:proofErr w:type="gramStart"/>
      <w:r w:rsidRPr="004B363E">
        <w:rPr>
          <w:b w:val="0"/>
          <w:snapToGrid/>
          <w:color w:val="auto"/>
          <w:szCs w:val="20"/>
          <w:lang w:eastAsia="en-US" w:bidi="ar-SA"/>
        </w:rPr>
        <w:t>learning  at</w:t>
      </w:r>
      <w:proofErr w:type="gramEnd"/>
      <w:r w:rsidRPr="004B363E">
        <w:rPr>
          <w:b w:val="0"/>
          <w:snapToGrid/>
          <w:color w:val="auto"/>
          <w:szCs w:val="20"/>
          <w:lang w:eastAsia="en-US" w:bidi="ar-SA"/>
        </w:rPr>
        <w:t xml:space="preserve"> the junior high school level still faces a number of obstacles stemming from a lack of conceptual understanding, limited technological infrastructure, and a lack of teachers' digital competence. Although most teachers have a positive view and high interest in the use of AI, their level of conceptual literacy and pedagogical ability to optimize the technology is still relatively low. The thematic analysis using </w:t>
      </w:r>
      <w:proofErr w:type="spellStart"/>
      <w:r w:rsidRPr="004B363E">
        <w:rPr>
          <w:b w:val="0"/>
          <w:snapToGrid/>
          <w:color w:val="auto"/>
          <w:szCs w:val="20"/>
          <w:lang w:eastAsia="en-US" w:bidi="ar-SA"/>
        </w:rPr>
        <w:t>NVivo</w:t>
      </w:r>
      <w:proofErr w:type="spellEnd"/>
      <w:r w:rsidRPr="004B363E">
        <w:rPr>
          <w:b w:val="0"/>
          <w:snapToGrid/>
          <w:color w:val="auto"/>
          <w:szCs w:val="20"/>
          <w:lang w:eastAsia="en-US" w:bidi="ar-SA"/>
        </w:rPr>
        <w:t xml:space="preserve"> 15 identified four main themes, namely Teacher Perception, AI Implementation, Teacher Readiness, and Development Expectations. Overall, the four themes reflect that the level of teachers' readiness for the application of AI is not evenly distributed.</w:t>
      </w:r>
      <w:r>
        <w:rPr>
          <w:b w:val="0"/>
          <w:snapToGrid/>
          <w:color w:val="auto"/>
          <w:szCs w:val="20"/>
          <w:lang w:eastAsia="en-US" w:bidi="ar-SA"/>
        </w:rPr>
        <w:t xml:space="preserve"> </w:t>
      </w:r>
      <w:r w:rsidRPr="004B363E">
        <w:rPr>
          <w:b w:val="0"/>
          <w:snapToGrid/>
          <w:color w:val="auto"/>
          <w:szCs w:val="20"/>
          <w:lang w:eastAsia="en-US" w:bidi="ar-SA"/>
        </w:rPr>
        <w:t xml:space="preserve">From the theoretical side, the results of this study strengthen the relevance of Teacher Readiness Theory and Technology Acceptance Model (TAM) in the realm of mathematics education in Indonesia. Teachers' readiness to adopt technology depends not only on </w:t>
      </w:r>
      <w:proofErr w:type="gramStart"/>
      <w:r w:rsidRPr="004B363E">
        <w:rPr>
          <w:b w:val="0"/>
          <w:snapToGrid/>
          <w:color w:val="auto"/>
          <w:szCs w:val="20"/>
          <w:lang w:eastAsia="en-US" w:bidi="ar-SA"/>
        </w:rPr>
        <w:t>technical</w:t>
      </w:r>
      <w:proofErr w:type="gramEnd"/>
      <w:r w:rsidRPr="004B363E">
        <w:rPr>
          <w:b w:val="0"/>
          <w:snapToGrid/>
          <w:color w:val="auto"/>
          <w:szCs w:val="20"/>
          <w:lang w:eastAsia="en-US" w:bidi="ar-SA"/>
        </w:rPr>
        <w:t xml:space="preserve"> skills, but also on psychological factors and institutional support that affect teachers' perceptions of the benefits and ease of use of AI. These findings confirm that the successful integration of AI in geometry learning requires a balance between digital competence, pedagogical readiness, and institutional policies that support the shift towards technology-based </w:t>
      </w:r>
      <w:proofErr w:type="spellStart"/>
      <w:r w:rsidRPr="004B363E">
        <w:rPr>
          <w:b w:val="0"/>
          <w:snapToGrid/>
          <w:color w:val="auto"/>
          <w:szCs w:val="20"/>
          <w:lang w:eastAsia="en-US" w:bidi="ar-SA"/>
        </w:rPr>
        <w:t>learning.Practically</w:t>
      </w:r>
      <w:proofErr w:type="spellEnd"/>
      <w:r w:rsidRPr="004B363E">
        <w:rPr>
          <w:b w:val="0"/>
          <w:snapToGrid/>
          <w:color w:val="auto"/>
          <w:szCs w:val="20"/>
          <w:lang w:eastAsia="en-US" w:bidi="ar-SA"/>
        </w:rPr>
        <w:t xml:space="preserve">, this study highlights the importance of implementing teacher professional development programs that focus on improving digital literacy, designing adaptive learning, and applying AI in subject-specific contexts such as geometry. Governments and educational institutions need to build collaborative synergy between teachers, technology developers, and policymakers so that the implementation of AI-based innovations can take place effectively, sustainably, and according to the local context. In addition, the results of this research can be the basis for the formulation of digital education policies that are more adaptive to the needs of secondary schools in </w:t>
      </w:r>
      <w:proofErr w:type="spellStart"/>
      <w:proofErr w:type="gramStart"/>
      <w:r w:rsidRPr="004B363E">
        <w:rPr>
          <w:b w:val="0"/>
          <w:snapToGrid/>
          <w:color w:val="auto"/>
          <w:szCs w:val="20"/>
          <w:lang w:eastAsia="en-US" w:bidi="ar-SA"/>
        </w:rPr>
        <w:t>Indonesia.Scientifically</w:t>
      </w:r>
      <w:proofErr w:type="spellEnd"/>
      <w:r w:rsidRPr="004B363E">
        <w:rPr>
          <w:b w:val="0"/>
          <w:snapToGrid/>
          <w:color w:val="auto"/>
          <w:szCs w:val="20"/>
          <w:lang w:eastAsia="en-US" w:bidi="ar-SA"/>
        </w:rPr>
        <w:t>,</w:t>
      </w:r>
      <w:proofErr w:type="gramEnd"/>
      <w:r w:rsidRPr="004B363E">
        <w:rPr>
          <w:b w:val="0"/>
          <w:snapToGrid/>
          <w:color w:val="auto"/>
          <w:szCs w:val="20"/>
          <w:lang w:eastAsia="en-US" w:bidi="ar-SA"/>
        </w:rPr>
        <w:t xml:space="preserve"> this research contributes through the development of a conceptual framework that integrates the dimensions of teacher readiness and technology acceptance in one holistic analysis model. This study expands the understanding of the integration of AI in mathematics learning from the perspective of teachers as the main agents of change, and provides an empirical basis for the development of more visual, adaptive, and data-driven geometry learning models.</w:t>
      </w:r>
    </w:p>
    <w:p w:rsidR="00C131D0" w:rsidRDefault="004B363E" w:rsidP="004B363E">
      <w:pPr>
        <w:pStyle w:val="Alishlah21heading1"/>
        <w:numPr>
          <w:ilvl w:val="0"/>
          <w:numId w:val="0"/>
        </w:numPr>
        <w:jc w:val="both"/>
        <w:rPr>
          <w:rFonts w:eastAsia="Arial"/>
        </w:rPr>
      </w:pPr>
      <w:r w:rsidRPr="004B363E">
        <w:rPr>
          <w:b w:val="0"/>
          <w:snapToGrid/>
          <w:color w:val="auto"/>
          <w:szCs w:val="20"/>
          <w:lang w:eastAsia="en-US" w:bidi="ar-SA"/>
        </w:rPr>
        <w:t xml:space="preserve">For future research, it is recommended to conduct a more comprehensive exploration using a mixed methods or research and development (R&amp;D) </w:t>
      </w:r>
      <w:proofErr w:type="gramStart"/>
      <w:r w:rsidRPr="004B363E">
        <w:rPr>
          <w:b w:val="0"/>
          <w:snapToGrid/>
          <w:color w:val="auto"/>
          <w:szCs w:val="20"/>
          <w:lang w:eastAsia="en-US" w:bidi="ar-SA"/>
        </w:rPr>
        <w:t>approach  to</w:t>
      </w:r>
      <w:proofErr w:type="gramEnd"/>
      <w:r w:rsidRPr="004B363E">
        <w:rPr>
          <w:b w:val="0"/>
          <w:snapToGrid/>
          <w:color w:val="auto"/>
          <w:szCs w:val="20"/>
          <w:lang w:eastAsia="en-US" w:bidi="ar-SA"/>
        </w:rPr>
        <w:t xml:space="preserve"> design and test the effectiveness of AI-based geometry learning models directly in the classroom environment. Follow-up studies also need to pay attention to other contextual factors, such as school culture, regional policies, and students' perceptions of the use of AI, so that the implementation strategies developed can adjust to the real conditions of education in various regions of Indonesia</w:t>
      </w:r>
    </w:p>
    <w:p w:rsidR="004B363E" w:rsidRPr="004B363E" w:rsidRDefault="005B5AEC" w:rsidP="004B363E">
      <w:pPr>
        <w:pStyle w:val="Alishlah21heading1"/>
        <w:ind w:left="426"/>
      </w:pPr>
      <w:r w:rsidRPr="00723B12">
        <w:rPr>
          <w:rFonts w:eastAsia="Arial"/>
        </w:rPr>
        <w:t>REFERENCES</w:t>
      </w:r>
    </w:p>
    <w:p w:rsidR="004B363E" w:rsidRPr="004B363E" w:rsidRDefault="004B363E" w:rsidP="004B363E">
      <w:pPr>
        <w:pStyle w:val="Alishlah21heading1"/>
        <w:numPr>
          <w:ilvl w:val="0"/>
          <w:numId w:val="0"/>
        </w:numPr>
        <w:ind w:left="720" w:hanging="360"/>
        <w:rPr>
          <w:b w:val="0"/>
        </w:rPr>
      </w:pPr>
      <w:r w:rsidRPr="004B363E">
        <w:rPr>
          <w:b w:val="0"/>
        </w:rPr>
        <w:t xml:space="preserve">Creswell, J. W. (2018). Qualitative inquiry and research design: Choosing among five approaches (4th </w:t>
      </w:r>
      <w:proofErr w:type="gramStart"/>
      <w:r w:rsidRPr="004B363E">
        <w:rPr>
          <w:b w:val="0"/>
        </w:rPr>
        <w:t>ed</w:t>
      </w:r>
      <w:proofErr w:type="gramEnd"/>
      <w:r w:rsidRPr="004B363E">
        <w:rPr>
          <w:b w:val="0"/>
        </w:rPr>
        <w:t xml:space="preserve">.). </w:t>
      </w:r>
      <w:proofErr w:type="gramStart"/>
      <w:r w:rsidRPr="004B363E">
        <w:rPr>
          <w:b w:val="0"/>
        </w:rPr>
        <w:t>SAGE Publications.</w:t>
      </w:r>
      <w:proofErr w:type="gramEnd"/>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gramStart"/>
      <w:r w:rsidRPr="004B363E">
        <w:rPr>
          <w:rFonts w:ascii="Palatino Linotype" w:eastAsia="Times New Roman" w:hAnsi="Palatino Linotype" w:cs="Times New Roman"/>
          <w:sz w:val="20"/>
          <w:szCs w:val="20"/>
        </w:rPr>
        <w:t xml:space="preserve">Creswell, J. W., &amp; </w:t>
      </w:r>
      <w:proofErr w:type="spellStart"/>
      <w:r w:rsidRPr="004B363E">
        <w:rPr>
          <w:rFonts w:ascii="Palatino Linotype" w:eastAsia="Times New Roman" w:hAnsi="Palatino Linotype" w:cs="Times New Roman"/>
          <w:sz w:val="20"/>
          <w:szCs w:val="20"/>
        </w:rPr>
        <w:t>Poth</w:t>
      </w:r>
      <w:proofErr w:type="spellEnd"/>
      <w:r w:rsidRPr="004B363E">
        <w:rPr>
          <w:rFonts w:ascii="Palatino Linotype" w:eastAsia="Times New Roman" w:hAnsi="Palatino Linotype" w:cs="Times New Roman"/>
          <w:sz w:val="20"/>
          <w:szCs w:val="20"/>
        </w:rPr>
        <w:t>, C. N. (2018).</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Qualitative inquiry and research design: Choosing among five approaches</w:t>
      </w:r>
      <w:r w:rsidRPr="004B363E">
        <w:rPr>
          <w:rFonts w:ascii="Palatino Linotype" w:eastAsia="Times New Roman" w:hAnsi="Palatino Linotype" w:cs="Times New Roman"/>
          <w:sz w:val="20"/>
          <w:szCs w:val="20"/>
        </w:rPr>
        <w:t xml:space="preserve"> (5th </w:t>
      </w:r>
      <w:proofErr w:type="gramStart"/>
      <w:r w:rsidRPr="004B363E">
        <w:rPr>
          <w:rFonts w:ascii="Palatino Linotype" w:eastAsia="Times New Roman" w:hAnsi="Palatino Linotype" w:cs="Times New Roman"/>
          <w:sz w:val="20"/>
          <w:szCs w:val="20"/>
        </w:rPr>
        <w:t>ed</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SAGE Publications.</w:t>
      </w:r>
      <w:proofErr w:type="gramEnd"/>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r w:rsidRPr="004B363E">
        <w:rPr>
          <w:rFonts w:ascii="Palatino Linotype" w:eastAsia="Times New Roman" w:hAnsi="Palatino Linotype" w:cs="Times New Roman"/>
          <w:sz w:val="20"/>
          <w:szCs w:val="20"/>
        </w:rPr>
        <w:t xml:space="preserve">Davis, F. D. (1989). </w:t>
      </w:r>
      <w:proofErr w:type="gramStart"/>
      <w:r w:rsidRPr="004B363E">
        <w:rPr>
          <w:rFonts w:ascii="Palatino Linotype" w:eastAsia="Times New Roman" w:hAnsi="Palatino Linotype" w:cs="Times New Roman"/>
          <w:sz w:val="20"/>
          <w:szCs w:val="20"/>
        </w:rPr>
        <w:t>Perceived usefulness, perceived ease of use, and user acceptance of information technology.</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MIS Quarterly</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13</w:t>
      </w:r>
      <w:r w:rsidRPr="004B363E">
        <w:rPr>
          <w:rFonts w:ascii="Palatino Linotype" w:eastAsia="Times New Roman" w:hAnsi="Palatino Linotype" w:cs="Times New Roman"/>
          <w:sz w:val="20"/>
          <w:szCs w:val="20"/>
        </w:rPr>
        <w:t>(3), 319–340. https://doi.org/10.2307/249008</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gramStart"/>
      <w:r w:rsidRPr="004B363E">
        <w:rPr>
          <w:rFonts w:ascii="Palatino Linotype" w:eastAsia="Times New Roman" w:hAnsi="Palatino Linotype" w:cs="Times New Roman"/>
          <w:sz w:val="20"/>
          <w:szCs w:val="20"/>
        </w:rPr>
        <w:t>Hwang, G. J., &amp; Chang, S. C. (2021).</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A review of opportunities and challenges of artificial intelligence in education.</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Educational Technology &amp; Society</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24</w:t>
      </w:r>
      <w:r w:rsidRPr="004B363E">
        <w:rPr>
          <w:rFonts w:ascii="Palatino Linotype" w:eastAsia="Times New Roman" w:hAnsi="Palatino Linotype" w:cs="Times New Roman"/>
          <w:sz w:val="20"/>
          <w:szCs w:val="20"/>
        </w:rPr>
        <w:t>(1), 1–18.</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r w:rsidRPr="004B363E">
        <w:rPr>
          <w:rFonts w:ascii="Palatino Linotype" w:eastAsia="Times New Roman" w:hAnsi="Palatino Linotype" w:cs="Times New Roman"/>
          <w:sz w:val="20"/>
          <w:szCs w:val="20"/>
        </w:rPr>
        <w:t xml:space="preserve">Lee, J., Park, Y., &amp; Kim, S. (2020). AI-based intelligent tutoring system for mathematics learning: A case study. </w:t>
      </w:r>
      <w:proofErr w:type="gramStart"/>
      <w:r w:rsidRPr="004B363E">
        <w:rPr>
          <w:rFonts w:ascii="Palatino Linotype" w:eastAsia="Times New Roman" w:hAnsi="Palatino Linotype" w:cs="Times New Roman"/>
          <w:i/>
          <w:iCs/>
          <w:sz w:val="20"/>
          <w:szCs w:val="20"/>
        </w:rPr>
        <w:t>Computers &amp; Education</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151</w:t>
      </w:r>
      <w:r w:rsidRPr="004B363E">
        <w:rPr>
          <w:rFonts w:ascii="Palatino Linotype" w:eastAsia="Times New Roman" w:hAnsi="Palatino Linotype" w:cs="Times New Roman"/>
          <w:sz w:val="20"/>
          <w:szCs w:val="20"/>
        </w:rPr>
        <w:t>, 103857.</w:t>
      </w:r>
      <w:proofErr w:type="gramEnd"/>
      <w:r w:rsidRPr="004B363E">
        <w:rPr>
          <w:rFonts w:ascii="Palatino Linotype" w:eastAsia="Times New Roman" w:hAnsi="Palatino Linotype" w:cs="Times New Roman"/>
          <w:sz w:val="20"/>
          <w:szCs w:val="20"/>
        </w:rPr>
        <w:t xml:space="preserve"> https://doi.org/10.1016/j.compedu.2020.103857</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gramStart"/>
      <w:r w:rsidRPr="004B363E">
        <w:rPr>
          <w:rFonts w:ascii="Palatino Linotype" w:eastAsia="Times New Roman" w:hAnsi="Palatino Linotype" w:cs="Times New Roman"/>
          <w:sz w:val="20"/>
          <w:szCs w:val="20"/>
        </w:rPr>
        <w:t xml:space="preserve">Lincoln, Y. S., &amp; </w:t>
      </w:r>
      <w:proofErr w:type="spellStart"/>
      <w:r w:rsidRPr="004B363E">
        <w:rPr>
          <w:rFonts w:ascii="Palatino Linotype" w:eastAsia="Times New Roman" w:hAnsi="Palatino Linotype" w:cs="Times New Roman"/>
          <w:sz w:val="20"/>
          <w:szCs w:val="20"/>
        </w:rPr>
        <w:t>Guba</w:t>
      </w:r>
      <w:proofErr w:type="spellEnd"/>
      <w:r w:rsidRPr="004B363E">
        <w:rPr>
          <w:rFonts w:ascii="Palatino Linotype" w:eastAsia="Times New Roman" w:hAnsi="Palatino Linotype" w:cs="Times New Roman"/>
          <w:sz w:val="20"/>
          <w:szCs w:val="20"/>
        </w:rPr>
        <w:t>, E. G. (1985).</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i/>
          <w:iCs/>
          <w:sz w:val="20"/>
          <w:szCs w:val="20"/>
        </w:rPr>
        <w:t>Naturalistic inquiry</w:t>
      </w:r>
      <w:r w:rsidRPr="004B363E">
        <w:rPr>
          <w:rFonts w:ascii="Palatino Linotype" w:eastAsia="Times New Roman" w:hAnsi="Palatino Linotype" w:cs="Times New Roman"/>
          <w:sz w:val="20"/>
          <w:szCs w:val="20"/>
        </w:rPr>
        <w:t>.</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SAGE Publications.</w:t>
      </w:r>
      <w:proofErr w:type="gramEnd"/>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spellStart"/>
      <w:proofErr w:type="gramStart"/>
      <w:r w:rsidRPr="004B363E">
        <w:rPr>
          <w:rFonts w:ascii="Palatino Linotype" w:eastAsia="Times New Roman" w:hAnsi="Palatino Linotype" w:cs="Times New Roman"/>
          <w:sz w:val="20"/>
          <w:szCs w:val="20"/>
        </w:rPr>
        <w:t>Payadnya</w:t>
      </w:r>
      <w:proofErr w:type="spellEnd"/>
      <w:r w:rsidRPr="004B363E">
        <w:rPr>
          <w:rFonts w:ascii="Palatino Linotype" w:eastAsia="Times New Roman" w:hAnsi="Palatino Linotype" w:cs="Times New Roman"/>
          <w:sz w:val="20"/>
          <w:szCs w:val="20"/>
        </w:rPr>
        <w:t xml:space="preserve">, I. P. A., </w:t>
      </w:r>
      <w:proofErr w:type="spellStart"/>
      <w:r w:rsidRPr="004B363E">
        <w:rPr>
          <w:rFonts w:ascii="Palatino Linotype" w:eastAsia="Times New Roman" w:hAnsi="Palatino Linotype" w:cs="Times New Roman"/>
          <w:sz w:val="20"/>
          <w:szCs w:val="20"/>
        </w:rPr>
        <w:t>Putri</w:t>
      </w:r>
      <w:proofErr w:type="spellEnd"/>
      <w:r w:rsidRPr="004B363E">
        <w:rPr>
          <w:rFonts w:ascii="Palatino Linotype" w:eastAsia="Times New Roman" w:hAnsi="Palatino Linotype" w:cs="Times New Roman"/>
          <w:sz w:val="20"/>
          <w:szCs w:val="20"/>
        </w:rPr>
        <w:t xml:space="preserve">, N. M., &amp; </w:t>
      </w:r>
      <w:proofErr w:type="spellStart"/>
      <w:r w:rsidRPr="004B363E">
        <w:rPr>
          <w:rFonts w:ascii="Palatino Linotype" w:eastAsia="Times New Roman" w:hAnsi="Palatino Linotype" w:cs="Times New Roman"/>
          <w:sz w:val="20"/>
          <w:szCs w:val="20"/>
        </w:rPr>
        <w:t>Suwija</w:t>
      </w:r>
      <w:proofErr w:type="spellEnd"/>
      <w:r w:rsidRPr="004B363E">
        <w:rPr>
          <w:rFonts w:ascii="Palatino Linotype" w:eastAsia="Times New Roman" w:hAnsi="Palatino Linotype" w:cs="Times New Roman"/>
          <w:sz w:val="20"/>
          <w:szCs w:val="20"/>
        </w:rPr>
        <w:t>, N. (2025).</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Teachers' perceptions of the application of AI in mathematics learning in Southeast Asia.</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Asian Journal of Technology and Education</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6</w:t>
      </w:r>
      <w:r w:rsidRPr="004B363E">
        <w:rPr>
          <w:rFonts w:ascii="Palatino Linotype" w:eastAsia="Times New Roman" w:hAnsi="Palatino Linotype" w:cs="Times New Roman"/>
          <w:sz w:val="20"/>
          <w:szCs w:val="20"/>
        </w:rPr>
        <w:t>(1), 22–34.</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r w:rsidRPr="004B363E">
        <w:rPr>
          <w:rFonts w:ascii="Palatino Linotype" w:eastAsia="Times New Roman" w:hAnsi="Palatino Linotype" w:cs="Times New Roman"/>
          <w:sz w:val="20"/>
          <w:szCs w:val="20"/>
        </w:rPr>
        <w:t xml:space="preserve">Putra, D. A., &amp; </w:t>
      </w:r>
      <w:proofErr w:type="spellStart"/>
      <w:r w:rsidRPr="004B363E">
        <w:rPr>
          <w:rFonts w:ascii="Palatino Linotype" w:eastAsia="Times New Roman" w:hAnsi="Palatino Linotype" w:cs="Times New Roman"/>
          <w:sz w:val="20"/>
          <w:szCs w:val="20"/>
        </w:rPr>
        <w:t>Ramadhani</w:t>
      </w:r>
      <w:proofErr w:type="spellEnd"/>
      <w:r w:rsidRPr="004B363E">
        <w:rPr>
          <w:rFonts w:ascii="Palatino Linotype" w:eastAsia="Times New Roman" w:hAnsi="Palatino Linotype" w:cs="Times New Roman"/>
          <w:sz w:val="20"/>
          <w:szCs w:val="20"/>
        </w:rPr>
        <w:t xml:space="preserve">, R. (2022). </w:t>
      </w:r>
      <w:proofErr w:type="gramStart"/>
      <w:r w:rsidRPr="004B363E">
        <w:rPr>
          <w:rFonts w:ascii="Palatino Linotype" w:eastAsia="Times New Roman" w:hAnsi="Palatino Linotype" w:cs="Times New Roman"/>
          <w:sz w:val="20"/>
          <w:szCs w:val="20"/>
        </w:rPr>
        <w:t>Analysis of the difficulties of junior high school students in understanding the concept of spatial geometry.</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Journal of Nusantara Mathematics Education</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8</w:t>
      </w:r>
      <w:r w:rsidRPr="004B363E">
        <w:rPr>
          <w:rFonts w:ascii="Palatino Linotype" w:eastAsia="Times New Roman" w:hAnsi="Palatino Linotype" w:cs="Times New Roman"/>
          <w:sz w:val="20"/>
          <w:szCs w:val="20"/>
        </w:rPr>
        <w:t>(1), 55–68.</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spellStart"/>
      <w:proofErr w:type="gramStart"/>
      <w:r w:rsidRPr="004B363E">
        <w:rPr>
          <w:rFonts w:ascii="Palatino Linotype" w:eastAsia="Times New Roman" w:hAnsi="Palatino Linotype" w:cs="Times New Roman"/>
          <w:sz w:val="20"/>
          <w:szCs w:val="20"/>
        </w:rPr>
        <w:t>Rahmawati</w:t>
      </w:r>
      <w:proofErr w:type="spellEnd"/>
      <w:r w:rsidRPr="004B363E">
        <w:rPr>
          <w:rFonts w:ascii="Palatino Linotype" w:eastAsia="Times New Roman" w:hAnsi="Palatino Linotype" w:cs="Times New Roman"/>
          <w:sz w:val="20"/>
          <w:szCs w:val="20"/>
        </w:rPr>
        <w:t>, N., &amp; Sari, D. P. (2023).</w:t>
      </w:r>
      <w:proofErr w:type="gramEnd"/>
      <w:r w:rsidRPr="004B363E">
        <w:rPr>
          <w:rFonts w:ascii="Palatino Linotype" w:eastAsia="Times New Roman" w:hAnsi="Palatino Linotype" w:cs="Times New Roman"/>
          <w:sz w:val="20"/>
          <w:szCs w:val="20"/>
        </w:rPr>
        <w:t xml:space="preserve"> Teacher readiness in the implementation of artificial intelligence-based learning: A theoretical and empirical review. </w:t>
      </w:r>
      <w:r w:rsidRPr="004B363E">
        <w:rPr>
          <w:rFonts w:ascii="Palatino Linotype" w:eastAsia="Times New Roman" w:hAnsi="Palatino Linotype" w:cs="Times New Roman"/>
          <w:i/>
          <w:iCs/>
          <w:sz w:val="20"/>
          <w:szCs w:val="20"/>
        </w:rPr>
        <w:t>Indonesian Journal of Educational Technology</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11</w:t>
      </w:r>
      <w:r w:rsidRPr="004B363E">
        <w:rPr>
          <w:rFonts w:ascii="Palatino Linotype" w:eastAsia="Times New Roman" w:hAnsi="Palatino Linotype" w:cs="Times New Roman"/>
          <w:sz w:val="20"/>
          <w:szCs w:val="20"/>
        </w:rPr>
        <w:t>(2), 87–99.</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spellStart"/>
      <w:proofErr w:type="gramStart"/>
      <w:r w:rsidRPr="004B363E">
        <w:rPr>
          <w:rFonts w:ascii="Palatino Linotype" w:eastAsia="Times New Roman" w:hAnsi="Palatino Linotype" w:cs="Times New Roman"/>
          <w:sz w:val="20"/>
          <w:szCs w:val="20"/>
        </w:rPr>
        <w:t>Riyanto</w:t>
      </w:r>
      <w:proofErr w:type="spellEnd"/>
      <w:r w:rsidRPr="004B363E">
        <w:rPr>
          <w:rFonts w:ascii="Palatino Linotype" w:eastAsia="Times New Roman" w:hAnsi="Palatino Linotype" w:cs="Times New Roman"/>
          <w:sz w:val="20"/>
          <w:szCs w:val="20"/>
        </w:rPr>
        <w:t xml:space="preserve">, A., </w:t>
      </w:r>
      <w:proofErr w:type="spellStart"/>
      <w:r w:rsidRPr="004B363E">
        <w:rPr>
          <w:rFonts w:ascii="Palatino Linotype" w:eastAsia="Times New Roman" w:hAnsi="Palatino Linotype" w:cs="Times New Roman"/>
          <w:sz w:val="20"/>
          <w:szCs w:val="20"/>
        </w:rPr>
        <w:t>Pratama</w:t>
      </w:r>
      <w:proofErr w:type="spellEnd"/>
      <w:r w:rsidRPr="004B363E">
        <w:rPr>
          <w:rFonts w:ascii="Palatino Linotype" w:eastAsia="Times New Roman" w:hAnsi="Palatino Linotype" w:cs="Times New Roman"/>
          <w:sz w:val="20"/>
          <w:szCs w:val="20"/>
        </w:rPr>
        <w:t>, Y., &amp; Lestari, F. (2023).</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The influence of spatial ability on the understanding of geometry of junior high school students.</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Indonesian Journal of Mathematics Education</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7</w:t>
      </w:r>
      <w:r w:rsidRPr="004B363E">
        <w:rPr>
          <w:rFonts w:ascii="Palatino Linotype" w:eastAsia="Times New Roman" w:hAnsi="Palatino Linotype" w:cs="Times New Roman"/>
          <w:sz w:val="20"/>
          <w:szCs w:val="20"/>
        </w:rPr>
        <w:t>(1), 12–25.</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spellStart"/>
      <w:proofErr w:type="gramStart"/>
      <w:r w:rsidRPr="004B363E">
        <w:rPr>
          <w:rFonts w:ascii="Palatino Linotype" w:eastAsia="Times New Roman" w:hAnsi="Palatino Linotype" w:cs="Times New Roman"/>
          <w:sz w:val="20"/>
          <w:szCs w:val="20"/>
        </w:rPr>
        <w:t>Santoso</w:t>
      </w:r>
      <w:proofErr w:type="spellEnd"/>
      <w:r w:rsidRPr="004B363E">
        <w:rPr>
          <w:rFonts w:ascii="Palatino Linotype" w:eastAsia="Times New Roman" w:hAnsi="Palatino Linotype" w:cs="Times New Roman"/>
          <w:sz w:val="20"/>
          <w:szCs w:val="20"/>
        </w:rPr>
        <w:t xml:space="preserve">, H., &amp; </w:t>
      </w:r>
      <w:proofErr w:type="spellStart"/>
      <w:r w:rsidRPr="004B363E">
        <w:rPr>
          <w:rFonts w:ascii="Palatino Linotype" w:eastAsia="Times New Roman" w:hAnsi="Palatino Linotype" w:cs="Times New Roman"/>
          <w:sz w:val="20"/>
          <w:szCs w:val="20"/>
        </w:rPr>
        <w:t>Utami</w:t>
      </w:r>
      <w:proofErr w:type="spellEnd"/>
      <w:r w:rsidRPr="004B363E">
        <w:rPr>
          <w:rFonts w:ascii="Palatino Linotype" w:eastAsia="Times New Roman" w:hAnsi="Palatino Linotype" w:cs="Times New Roman"/>
          <w:sz w:val="20"/>
          <w:szCs w:val="20"/>
        </w:rPr>
        <w:t>, D. (2022).</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Implementation of the independent curriculum policy in supporting the digital transformation of education.</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Journal of Educational Management</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17</w:t>
      </w:r>
      <w:r w:rsidRPr="004B363E">
        <w:rPr>
          <w:rFonts w:ascii="Palatino Linotype" w:eastAsia="Times New Roman" w:hAnsi="Palatino Linotype" w:cs="Times New Roman"/>
          <w:sz w:val="20"/>
          <w:szCs w:val="20"/>
        </w:rPr>
        <w:t>(3), 144–158.</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spellStart"/>
      <w:proofErr w:type="gramStart"/>
      <w:r w:rsidRPr="004B363E">
        <w:rPr>
          <w:rFonts w:ascii="Palatino Linotype" w:eastAsia="Times New Roman" w:hAnsi="Palatino Linotype" w:cs="Times New Roman"/>
          <w:sz w:val="20"/>
          <w:szCs w:val="20"/>
        </w:rPr>
        <w:t>Sugiyono</w:t>
      </w:r>
      <w:proofErr w:type="spellEnd"/>
      <w:r w:rsidRPr="004B363E">
        <w:rPr>
          <w:rFonts w:ascii="Palatino Linotype" w:eastAsia="Times New Roman" w:hAnsi="Palatino Linotype" w:cs="Times New Roman"/>
          <w:sz w:val="20"/>
          <w:szCs w:val="20"/>
        </w:rPr>
        <w:t>.</w:t>
      </w:r>
      <w:proofErr w:type="gramEnd"/>
      <w:r w:rsidRPr="004B363E">
        <w:rPr>
          <w:rFonts w:ascii="Palatino Linotype" w:eastAsia="Times New Roman" w:hAnsi="Palatino Linotype" w:cs="Times New Roman"/>
          <w:sz w:val="20"/>
          <w:szCs w:val="20"/>
        </w:rPr>
        <w:t xml:space="preserve"> (2022). </w:t>
      </w:r>
      <w:r w:rsidRPr="004B363E">
        <w:rPr>
          <w:rFonts w:ascii="Palatino Linotype" w:eastAsia="Times New Roman" w:hAnsi="Palatino Linotype" w:cs="Times New Roman"/>
          <w:i/>
          <w:iCs/>
          <w:sz w:val="20"/>
          <w:szCs w:val="20"/>
        </w:rPr>
        <w:t>Qualitative, quantitative, and R&amp;D research methods</w:t>
      </w:r>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Alphabet.</w:t>
      </w:r>
      <w:proofErr w:type="gramEnd"/>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spellStart"/>
      <w:r w:rsidRPr="004B363E">
        <w:rPr>
          <w:rFonts w:ascii="Palatino Linotype" w:eastAsia="Times New Roman" w:hAnsi="Palatino Linotype" w:cs="Times New Roman"/>
          <w:sz w:val="20"/>
          <w:szCs w:val="20"/>
        </w:rPr>
        <w:t>Suharsono</w:t>
      </w:r>
      <w:proofErr w:type="spellEnd"/>
      <w:r w:rsidRPr="004B363E">
        <w:rPr>
          <w:rFonts w:ascii="Palatino Linotype" w:eastAsia="Times New Roman" w:hAnsi="Palatino Linotype" w:cs="Times New Roman"/>
          <w:sz w:val="20"/>
          <w:szCs w:val="20"/>
        </w:rPr>
        <w:t xml:space="preserve">, A., &amp; </w:t>
      </w:r>
      <w:proofErr w:type="spellStart"/>
      <w:r w:rsidRPr="004B363E">
        <w:rPr>
          <w:rFonts w:ascii="Palatino Linotype" w:eastAsia="Times New Roman" w:hAnsi="Palatino Linotype" w:cs="Times New Roman"/>
          <w:sz w:val="20"/>
          <w:szCs w:val="20"/>
        </w:rPr>
        <w:t>Ningsih</w:t>
      </w:r>
      <w:proofErr w:type="spellEnd"/>
      <w:r w:rsidRPr="004B363E">
        <w:rPr>
          <w:rFonts w:ascii="Palatino Linotype" w:eastAsia="Times New Roman" w:hAnsi="Palatino Linotype" w:cs="Times New Roman"/>
          <w:sz w:val="20"/>
          <w:szCs w:val="20"/>
        </w:rPr>
        <w:t xml:space="preserve">, S. (2024). </w:t>
      </w:r>
      <w:proofErr w:type="gramStart"/>
      <w:r w:rsidRPr="004B363E">
        <w:rPr>
          <w:rFonts w:ascii="Palatino Linotype" w:eastAsia="Times New Roman" w:hAnsi="Palatino Linotype" w:cs="Times New Roman"/>
          <w:sz w:val="20"/>
          <w:szCs w:val="20"/>
        </w:rPr>
        <w:t>Teachers' perception of artificial intelligence-based learning in secondary school.</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Journal of Learning Innovation</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10</w:t>
      </w:r>
      <w:r w:rsidRPr="004B363E">
        <w:rPr>
          <w:rFonts w:ascii="Palatino Linotype" w:eastAsia="Times New Roman" w:hAnsi="Palatino Linotype" w:cs="Times New Roman"/>
          <w:sz w:val="20"/>
          <w:szCs w:val="20"/>
        </w:rPr>
        <w:t>(2), 80–92.</w:t>
      </w:r>
    </w:p>
    <w:p w:rsidR="004B363E" w:rsidRPr="004B363E" w:rsidRDefault="004B363E" w:rsidP="004B363E">
      <w:pPr>
        <w:autoSpaceDE w:val="0"/>
        <w:autoSpaceDN w:val="0"/>
        <w:ind w:left="709" w:hanging="480"/>
        <w:jc w:val="both"/>
        <w:rPr>
          <w:rFonts w:ascii="Palatino Linotype" w:eastAsia="Times New Roman" w:hAnsi="Palatino Linotype" w:cs="Times New Roman"/>
          <w:sz w:val="20"/>
          <w:szCs w:val="20"/>
        </w:rPr>
      </w:pPr>
      <w:proofErr w:type="spellStart"/>
      <w:proofErr w:type="gramStart"/>
      <w:r w:rsidRPr="004B363E">
        <w:rPr>
          <w:rFonts w:ascii="Palatino Linotype" w:eastAsia="Times New Roman" w:hAnsi="Palatino Linotype" w:cs="Times New Roman"/>
          <w:sz w:val="20"/>
          <w:szCs w:val="20"/>
        </w:rPr>
        <w:t>Supadi</w:t>
      </w:r>
      <w:proofErr w:type="spellEnd"/>
      <w:r w:rsidRPr="004B363E">
        <w:rPr>
          <w:rFonts w:ascii="Palatino Linotype" w:eastAsia="Times New Roman" w:hAnsi="Palatino Linotype" w:cs="Times New Roman"/>
          <w:sz w:val="20"/>
          <w:szCs w:val="20"/>
        </w:rPr>
        <w:t xml:space="preserve">, S., </w:t>
      </w:r>
      <w:proofErr w:type="spellStart"/>
      <w:r w:rsidRPr="004B363E">
        <w:rPr>
          <w:rFonts w:ascii="Palatino Linotype" w:eastAsia="Times New Roman" w:hAnsi="Palatino Linotype" w:cs="Times New Roman"/>
          <w:sz w:val="20"/>
          <w:szCs w:val="20"/>
        </w:rPr>
        <w:t>Hasbullah</w:t>
      </w:r>
      <w:proofErr w:type="spellEnd"/>
      <w:r w:rsidRPr="004B363E">
        <w:rPr>
          <w:rFonts w:ascii="Palatino Linotype" w:eastAsia="Times New Roman" w:hAnsi="Palatino Linotype" w:cs="Times New Roman"/>
          <w:sz w:val="20"/>
          <w:szCs w:val="20"/>
        </w:rPr>
        <w:t>, &amp; Leonard, L. (2025).</w:t>
      </w:r>
      <w:proofErr w:type="gramEnd"/>
      <w:r w:rsidRPr="004B363E">
        <w:rPr>
          <w:rFonts w:ascii="Palatino Linotype" w:eastAsia="Times New Roman" w:hAnsi="Palatino Linotype" w:cs="Times New Roman"/>
          <w:sz w:val="20"/>
          <w:szCs w:val="20"/>
        </w:rPr>
        <w:t xml:space="preserve"> </w:t>
      </w:r>
      <w:proofErr w:type="gramStart"/>
      <w:r w:rsidRPr="004B363E">
        <w:rPr>
          <w:rFonts w:ascii="Palatino Linotype" w:eastAsia="Times New Roman" w:hAnsi="Palatino Linotype" w:cs="Times New Roman"/>
          <w:sz w:val="20"/>
          <w:szCs w:val="20"/>
        </w:rPr>
        <w:t>School management's support for the effectiveness of technology-based mathematics learning.</w:t>
      </w:r>
      <w:proofErr w:type="gramEnd"/>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Journal of Education and Technology Management</w:t>
      </w:r>
      <w:r w:rsidRPr="004B363E">
        <w:rPr>
          <w:rFonts w:ascii="Palatino Linotype" w:eastAsia="Times New Roman" w:hAnsi="Palatino Linotype" w:cs="Times New Roman"/>
          <w:sz w:val="20"/>
          <w:szCs w:val="20"/>
        </w:rPr>
        <w:t xml:space="preserve">, </w:t>
      </w:r>
      <w:r w:rsidRPr="004B363E">
        <w:rPr>
          <w:rFonts w:ascii="Palatino Linotype" w:eastAsia="Times New Roman" w:hAnsi="Palatino Linotype" w:cs="Times New Roman"/>
          <w:i/>
          <w:iCs/>
          <w:sz w:val="20"/>
          <w:szCs w:val="20"/>
        </w:rPr>
        <w:t>13</w:t>
      </w:r>
      <w:r w:rsidRPr="004B363E">
        <w:rPr>
          <w:rFonts w:ascii="Palatino Linotype" w:eastAsia="Times New Roman" w:hAnsi="Palatino Linotype" w:cs="Times New Roman"/>
          <w:sz w:val="20"/>
          <w:szCs w:val="20"/>
        </w:rPr>
        <w:t>(1), 50–61.</w:t>
      </w:r>
    </w:p>
    <w:p w:rsidR="005B5AEC" w:rsidRDefault="005B5AEC" w:rsidP="004B363E">
      <w:pPr>
        <w:pStyle w:val="Alishlah21heading1"/>
        <w:numPr>
          <w:ilvl w:val="0"/>
          <w:numId w:val="0"/>
        </w:numPr>
        <w:ind w:left="709"/>
        <w:rPr>
          <w:rFonts w:eastAsia="Arial"/>
        </w:rPr>
      </w:pPr>
    </w:p>
    <w:sectPr w:rsidR="005B5AEC" w:rsidSect="001914CF">
      <w:headerReference w:type="default" r:id="rId16"/>
      <w:footerReference w:type="default" r:id="rId17"/>
      <w:headerReference w:type="first" r:id="rId18"/>
      <w:footerReference w:type="first" r:id="rId19"/>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3A7" w:rsidRDefault="009833A7" w:rsidP="008E64A2">
      <w:pPr>
        <w:spacing w:after="0" w:line="240" w:lineRule="auto"/>
      </w:pPr>
      <w:r>
        <w:separator/>
      </w:r>
    </w:p>
    <w:p w:rsidR="009833A7" w:rsidRDefault="009833A7"/>
  </w:endnote>
  <w:endnote w:type="continuationSeparator" w:id="0">
    <w:p w:rsidR="009833A7" w:rsidRDefault="009833A7" w:rsidP="008E64A2">
      <w:pPr>
        <w:spacing w:after="0" w:line="240" w:lineRule="auto"/>
      </w:pPr>
      <w:r>
        <w:continuationSeparator/>
      </w:r>
    </w:p>
    <w:p w:rsidR="009833A7" w:rsidRDefault="009833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Poor Richard">
    <w:panose1 w:val="02080502050505020702"/>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3A7" w:rsidRDefault="009833A7" w:rsidP="008E64A2">
      <w:pPr>
        <w:spacing w:after="0" w:line="240" w:lineRule="auto"/>
      </w:pPr>
      <w:r>
        <w:separator/>
      </w:r>
    </w:p>
    <w:p w:rsidR="009833A7" w:rsidRDefault="009833A7"/>
  </w:footnote>
  <w:footnote w:type="continuationSeparator" w:id="0">
    <w:p w:rsidR="009833A7" w:rsidRDefault="009833A7" w:rsidP="008E64A2">
      <w:pPr>
        <w:spacing w:after="0" w:line="240" w:lineRule="auto"/>
      </w:pPr>
      <w:r>
        <w:continuationSeparator/>
      </w:r>
    </w:p>
    <w:p w:rsidR="009833A7" w:rsidRDefault="009833A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2BC869F2" wp14:editId="429526F4">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proofErr w:type="spellStart"/>
    <w:r w:rsidR="00727D5A">
      <w:rPr>
        <w:rFonts w:ascii="Palatino Linotype" w:hAnsi="Palatino Linotype"/>
        <w:i/>
        <w:sz w:val="16"/>
      </w:rPr>
      <w:t>pp</w:t>
    </w:r>
    <w:proofErr w:type="spellEnd"/>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4B363E">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rsidR="003B6496" w:rsidRDefault="003B649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48254D" w:rsidRDefault="001C18FA" w:rsidP="0048254D">
    <w:pPr>
      <w:pStyle w:val="Header"/>
      <w:ind w:right="45"/>
      <w:rPr>
        <w:rFonts w:ascii="Palatino Linotype" w:hAnsi="Palatino Linotype"/>
        <w:b/>
        <w:sz w:val="20"/>
      </w:rPr>
    </w:pPr>
    <w:bookmarkStart w:id="3"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3"/>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6F0447C3" wp14:editId="1241FDF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0174"/>
    <w:multiLevelType w:val="multilevel"/>
    <w:tmpl w:val="EDDA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BD62E7E"/>
    <w:multiLevelType w:val="multilevel"/>
    <w:tmpl w:val="AF3A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FB24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61A71F34"/>
    <w:multiLevelType w:val="multilevel"/>
    <w:tmpl w:val="8268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0">
    <w:nsid w:val="65401CB8"/>
    <w:multiLevelType w:val="multilevel"/>
    <w:tmpl w:val="005E7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845A27"/>
    <w:multiLevelType w:val="multilevel"/>
    <w:tmpl w:val="A3BE1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6"/>
  </w:num>
  <w:num w:numId="5">
    <w:abstractNumId w:val="16"/>
  </w:num>
  <w:num w:numId="6">
    <w:abstractNumId w:val="22"/>
  </w:num>
  <w:num w:numId="7">
    <w:abstractNumId w:val="2"/>
  </w:num>
  <w:num w:numId="8">
    <w:abstractNumId w:val="19"/>
  </w:num>
  <w:num w:numId="9">
    <w:abstractNumId w:val="9"/>
  </w:num>
  <w:num w:numId="10">
    <w:abstractNumId w:val="17"/>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3"/>
  </w:num>
  <w:num w:numId="14">
    <w:abstractNumId w:val="12"/>
  </w:num>
  <w:num w:numId="15">
    <w:abstractNumId w:val="15"/>
  </w:num>
  <w:num w:numId="16">
    <w:abstractNumId w:val="1"/>
  </w:num>
  <w:num w:numId="17">
    <w:abstractNumId w:val="5"/>
  </w:num>
  <w:num w:numId="18">
    <w:abstractNumId w:val="8"/>
  </w:num>
  <w:num w:numId="19">
    <w:abstractNumId w:val="13"/>
  </w:num>
  <w:num w:numId="20">
    <w:abstractNumId w:val="20"/>
  </w:num>
  <w:num w:numId="21">
    <w:abstractNumId w:val="0"/>
  </w:num>
  <w:num w:numId="22">
    <w:abstractNumId w:val="18"/>
  </w:num>
  <w:num w:numId="23">
    <w:abstractNumId w:val="21"/>
  </w:num>
  <w:num w:numId="24">
    <w:abstractNumId w:val="14"/>
  </w:num>
  <w:num w:numId="2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AD0645"/>
    <w:rsid w:val="000061CE"/>
    <w:rsid w:val="00031DD5"/>
    <w:rsid w:val="000333AC"/>
    <w:rsid w:val="000355EA"/>
    <w:rsid w:val="00035C67"/>
    <w:rsid w:val="00056E9C"/>
    <w:rsid w:val="000735BB"/>
    <w:rsid w:val="00075197"/>
    <w:rsid w:val="000831BD"/>
    <w:rsid w:val="0008756C"/>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97C11"/>
    <w:rsid w:val="001A4292"/>
    <w:rsid w:val="001A581B"/>
    <w:rsid w:val="001C1084"/>
    <w:rsid w:val="001C18FA"/>
    <w:rsid w:val="001C30E8"/>
    <w:rsid w:val="001C7B8C"/>
    <w:rsid w:val="001E42C1"/>
    <w:rsid w:val="001E7704"/>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B6496"/>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B363E"/>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12B"/>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52D7"/>
    <w:rsid w:val="008E64A2"/>
    <w:rsid w:val="008F618A"/>
    <w:rsid w:val="00917C32"/>
    <w:rsid w:val="00921BF0"/>
    <w:rsid w:val="00922701"/>
    <w:rsid w:val="009250A6"/>
    <w:rsid w:val="00926A4F"/>
    <w:rsid w:val="00935589"/>
    <w:rsid w:val="0093774D"/>
    <w:rsid w:val="0093781E"/>
    <w:rsid w:val="00941210"/>
    <w:rsid w:val="009466DD"/>
    <w:rsid w:val="00961E09"/>
    <w:rsid w:val="00961F83"/>
    <w:rsid w:val="009636A4"/>
    <w:rsid w:val="00964447"/>
    <w:rsid w:val="00966B3D"/>
    <w:rsid w:val="00971961"/>
    <w:rsid w:val="0098303C"/>
    <w:rsid w:val="009833A7"/>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0645"/>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131D0"/>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70"/>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uiPriority w:val="9"/>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uiPriority w:val="9"/>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57815099">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13495530">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697195354">
      <w:bodyDiv w:val="1"/>
      <w:marLeft w:val="0"/>
      <w:marRight w:val="0"/>
      <w:marTop w:val="0"/>
      <w:marBottom w:val="0"/>
      <w:divBdr>
        <w:top w:val="none" w:sz="0" w:space="0" w:color="auto"/>
        <w:left w:val="none" w:sz="0" w:space="0" w:color="auto"/>
        <w:bottom w:val="none" w:sz="0" w:space="0" w:color="auto"/>
        <w:right w:val="none" w:sz="0" w:space="0" w:color="auto"/>
      </w:divBdr>
    </w:div>
    <w:div w:id="734746684">
      <w:bodyDiv w:val="1"/>
      <w:marLeft w:val="0"/>
      <w:marRight w:val="0"/>
      <w:marTop w:val="0"/>
      <w:marBottom w:val="0"/>
      <w:divBdr>
        <w:top w:val="none" w:sz="0" w:space="0" w:color="auto"/>
        <w:left w:val="none" w:sz="0" w:space="0" w:color="auto"/>
        <w:bottom w:val="none" w:sz="0" w:space="0" w:color="auto"/>
        <w:right w:val="none" w:sz="0" w:space="0" w:color="auto"/>
      </w:divBdr>
    </w:div>
    <w:div w:id="848642829">
      <w:bodyDiv w:val="1"/>
      <w:marLeft w:val="0"/>
      <w:marRight w:val="0"/>
      <w:marTop w:val="0"/>
      <w:marBottom w:val="0"/>
      <w:divBdr>
        <w:top w:val="none" w:sz="0" w:space="0" w:color="auto"/>
        <w:left w:val="none" w:sz="0" w:space="0" w:color="auto"/>
        <w:bottom w:val="none" w:sz="0" w:space="0" w:color="auto"/>
        <w:right w:val="none" w:sz="0" w:space="0" w:color="auto"/>
      </w:divBdr>
    </w:div>
    <w:div w:id="868683614">
      <w:bodyDiv w:val="1"/>
      <w:marLeft w:val="0"/>
      <w:marRight w:val="0"/>
      <w:marTop w:val="0"/>
      <w:marBottom w:val="0"/>
      <w:divBdr>
        <w:top w:val="none" w:sz="0" w:space="0" w:color="auto"/>
        <w:left w:val="none" w:sz="0" w:space="0" w:color="auto"/>
        <w:bottom w:val="none" w:sz="0" w:space="0" w:color="auto"/>
        <w:right w:val="none" w:sz="0" w:space="0" w:color="auto"/>
      </w:divBdr>
    </w:div>
    <w:div w:id="1298102595">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52395526">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creativecommons.org/licenses/by-nc-sa/4.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ritutusuri@gmail.com"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mailto:evylalanlangi@ukitoraja.ac.id"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mangacheisar97@gmail.com" TargetMode="External"/><Relationship Id="rId14" Type="http://schemas.openxmlformats.org/officeDocument/2006/relationships/hyperlink" Target="mailto:mangacheisar97@gmail.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Sint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41C998C52B8440A909B6026AB594F80"/>
        <w:category>
          <w:name w:val="General"/>
          <w:gallery w:val="placeholder"/>
        </w:category>
        <w:types>
          <w:type w:val="bbPlcHdr"/>
        </w:types>
        <w:behaviors>
          <w:behavior w:val="content"/>
        </w:behaviors>
        <w:guid w:val="{29442275-570A-4336-9560-2288807FA32A}"/>
      </w:docPartPr>
      <w:docPartBody>
        <w:p w:rsidR="00000000" w:rsidRDefault="00E5278B" w:rsidP="00E5278B">
          <w:pPr>
            <w:pStyle w:val="141C998C52B8440A909B6026AB594F80"/>
          </w:pPr>
          <w:r w:rsidRPr="00384B25">
            <w:rPr>
              <w:rStyle w:val="PlaceholderText"/>
            </w:rPr>
            <w:t>Click or tap here to enter text.</w:t>
          </w:r>
        </w:p>
      </w:docPartBody>
    </w:docPart>
    <w:docPart>
      <w:docPartPr>
        <w:name w:val="DE3F7B4DD5DF4B4BA8BCB437238CAE48"/>
        <w:category>
          <w:name w:val="General"/>
          <w:gallery w:val="placeholder"/>
        </w:category>
        <w:types>
          <w:type w:val="bbPlcHdr"/>
        </w:types>
        <w:behaviors>
          <w:behavior w:val="content"/>
        </w:behaviors>
        <w:guid w:val="{FDAF4F42-FF8D-4A05-A171-34EB9E8107C1}"/>
      </w:docPartPr>
      <w:docPartBody>
        <w:p w:rsidR="00000000" w:rsidRDefault="00E5278B" w:rsidP="00E5278B">
          <w:pPr>
            <w:pStyle w:val="DE3F7B4DD5DF4B4BA8BCB437238CAE48"/>
          </w:pPr>
          <w:r w:rsidRPr="00384B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8B"/>
    <w:rsid w:val="00BB11F9"/>
    <w:rsid w:val="00E52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278B"/>
    <w:rPr>
      <w:color w:val="666666"/>
    </w:rPr>
  </w:style>
  <w:style w:type="paragraph" w:customStyle="1" w:styleId="141C998C52B8440A909B6026AB594F80">
    <w:name w:val="141C998C52B8440A909B6026AB594F80"/>
    <w:rsid w:val="00E5278B"/>
  </w:style>
  <w:style w:type="paragraph" w:customStyle="1" w:styleId="DE3F7B4DD5DF4B4BA8BCB437238CAE48">
    <w:name w:val="DE3F7B4DD5DF4B4BA8BCB437238CAE48"/>
    <w:rsid w:val="00E5278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278B"/>
    <w:rPr>
      <w:color w:val="666666"/>
    </w:rPr>
  </w:style>
  <w:style w:type="paragraph" w:customStyle="1" w:styleId="141C998C52B8440A909B6026AB594F80">
    <w:name w:val="141C998C52B8440A909B6026AB594F80"/>
    <w:rsid w:val="00E5278B"/>
  </w:style>
  <w:style w:type="paragraph" w:customStyle="1" w:styleId="DE3F7B4DD5DF4B4BA8BCB437238CAE48">
    <w:name w:val="DE3F7B4DD5DF4B4BA8BCB437238CAE48"/>
    <w:rsid w:val="00E527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E070C-E685-48D9-B63E-0B44E5517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Sinta 2</Template>
  <TotalTime>0</TotalTime>
  <Pages>8</Pages>
  <Words>3136</Words>
  <Characters>17881</Characters>
  <Application>Microsoft Office Word</Application>
  <DocSecurity>0</DocSecurity>
  <Lines>149</Lines>
  <Paragraphs>41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INTRODUCTION</vt:lpstr>
      <vt:lpstr>Geometry learning at the junior high school level still faces various obstacles </vt:lpstr>
      <vt:lpstr>METHODS  This study applies a qualitative approach with an exploratory phenomeno</vt:lpstr>
      <vt:lpstr>FINDINGS AND DISCUSSION</vt:lpstr>
      <vt:lpstr>The thematic analysis carried out with the help of NVivo 15 software identified </vt:lpstr>
      <vt:lpstr>CONCLUSION </vt:lpstr>
      <vt:lpstr>This study shows that the application of Artificial Intelligence-based geometry </vt:lpstr>
      <vt:lpstr>For future research, it is recommended to conduct a more comprehensive explorati</vt:lpstr>
      <vt:lpstr>REFERENCES</vt:lpstr>
      <vt:lpstr>Creswell, J. W. (2018). Qualitative inquiry and research design: Choosing among </vt:lpstr>
      <vt:lpstr/>
    </vt:vector>
  </TitlesOfParts>
  <Company/>
  <LinksUpToDate>false</LinksUpToDate>
  <CharactersWithSpaces>20976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cp:lastPrinted>2022-03-12T14:54:00Z</cp:lastPrinted>
  <dcterms:created xsi:type="dcterms:W3CDTF">2025-11-21T08:20:00Z</dcterms:created>
  <dcterms:modified xsi:type="dcterms:W3CDTF">2025-11-21T08:20:00Z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