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5B50C" w14:textId="77777777" w:rsidR="008E64A2" w:rsidRPr="00A75CB1" w:rsidRDefault="006909F1" w:rsidP="005618E3">
      <w:pPr>
        <w:pStyle w:val="Alishlah12title"/>
        <w:spacing w:before="480"/>
      </w:pPr>
      <w:r w:rsidRPr="006909F1">
        <w:t>The Development of Models and Strategies for Indonesian Language for Foreign Speakers (BIPA) Training in Southeast Asia and the United States (2009-2024): A Systematic Literature Review</w:t>
      </w:r>
    </w:p>
    <w:p w14:paraId="2D3F628E" w14:textId="77777777" w:rsidR="006909F1" w:rsidRDefault="006909F1" w:rsidP="005618E3">
      <w:pPr>
        <w:pStyle w:val="Alishlah13authornames"/>
        <w:spacing w:after="0"/>
        <w:rPr>
          <w:lang w:val="en-GB"/>
        </w:rPr>
      </w:pPr>
    </w:p>
    <w:p w14:paraId="73B4A937" w14:textId="1A9C1D4C" w:rsidR="00BE398A" w:rsidRPr="006909F1" w:rsidRDefault="006909F1" w:rsidP="006909F1">
      <w:pPr>
        <w:pStyle w:val="Alishlah13authornames"/>
        <w:rPr>
          <w:lang w:val="en-GB"/>
        </w:rPr>
      </w:pPr>
      <w:proofErr w:type="spellStart"/>
      <w:r w:rsidRPr="006909F1">
        <w:rPr>
          <w:lang w:val="en-GB"/>
        </w:rPr>
        <w:t>Alim</w:t>
      </w:r>
      <w:proofErr w:type="spellEnd"/>
      <w:r w:rsidRPr="006909F1">
        <w:rPr>
          <w:lang w:val="en-GB"/>
        </w:rPr>
        <w:t xml:space="preserve"> Harun Pamungkas</w:t>
      </w:r>
      <w:r w:rsidRPr="006909F1">
        <w:rPr>
          <w:vertAlign w:val="superscript"/>
          <w:lang w:val="en-GB"/>
        </w:rPr>
        <w:t>1</w:t>
      </w:r>
      <w:r w:rsidRPr="006909F1">
        <w:rPr>
          <w:lang w:val="en-GB"/>
        </w:rPr>
        <w:t xml:space="preserve">, </w:t>
      </w:r>
      <w:proofErr w:type="spellStart"/>
      <w:r w:rsidRPr="006909F1">
        <w:rPr>
          <w:lang w:val="en-GB"/>
        </w:rPr>
        <w:t>Rizki</w:t>
      </w:r>
      <w:proofErr w:type="spellEnd"/>
      <w:r w:rsidRPr="006909F1">
        <w:rPr>
          <w:lang w:val="en-GB"/>
        </w:rPr>
        <w:t xml:space="preserve"> Putri Ramadhani</w:t>
      </w:r>
      <w:r w:rsidRPr="006909F1">
        <w:rPr>
          <w:vertAlign w:val="superscript"/>
          <w:lang w:val="en-GB"/>
        </w:rPr>
        <w:t>2</w:t>
      </w:r>
      <w:r w:rsidRPr="006909F1">
        <w:rPr>
          <w:lang w:val="en-GB"/>
        </w:rPr>
        <w:t>,</w:t>
      </w:r>
      <w:r w:rsidR="005F5BBA">
        <w:rPr>
          <w:lang w:val="en-GB"/>
        </w:rPr>
        <w:t xml:space="preserve"> Rodolfo Soares</w:t>
      </w:r>
      <w:r w:rsidR="005F5BBA" w:rsidRPr="005F5BBA">
        <w:rPr>
          <w:vertAlign w:val="superscript"/>
          <w:lang w:val="en-GB"/>
        </w:rPr>
        <w:t>3</w:t>
      </w:r>
      <w:r w:rsidR="005F5BBA">
        <w:rPr>
          <w:lang w:val="en-GB"/>
        </w:rPr>
        <w:t>,</w:t>
      </w:r>
      <w:r w:rsidRPr="006909F1">
        <w:rPr>
          <w:lang w:val="en-GB"/>
        </w:rPr>
        <w:t xml:space="preserve"> </w:t>
      </w:r>
      <w:proofErr w:type="spellStart"/>
      <w:r w:rsidRPr="006909F1">
        <w:rPr>
          <w:lang w:val="en-GB"/>
        </w:rPr>
        <w:t>Bunga</w:t>
      </w:r>
      <w:proofErr w:type="spellEnd"/>
      <w:r w:rsidRPr="006909F1">
        <w:rPr>
          <w:lang w:val="en-GB"/>
        </w:rPr>
        <w:t xml:space="preserve"> </w:t>
      </w:r>
      <w:proofErr w:type="spellStart"/>
      <w:r w:rsidRPr="006909F1">
        <w:rPr>
          <w:lang w:val="en-GB"/>
        </w:rPr>
        <w:t>Febrimora</w:t>
      </w:r>
      <w:proofErr w:type="spellEnd"/>
      <w:r w:rsidRPr="006909F1">
        <w:rPr>
          <w:lang w:val="en-GB"/>
        </w:rPr>
        <w:t xml:space="preserve"> Hendri</w:t>
      </w:r>
      <w:r w:rsidR="005F5BBA">
        <w:rPr>
          <w:vertAlign w:val="superscript"/>
          <w:lang w:val="en-GB"/>
        </w:rPr>
        <w:t>4</w:t>
      </w:r>
      <w:r>
        <w:rPr>
          <w:lang w:val="en-GB"/>
        </w:rPr>
        <w:t xml:space="preserve">, </w:t>
      </w:r>
      <w:r w:rsidRPr="006909F1">
        <w:rPr>
          <w:lang w:val="en-GB"/>
        </w:rPr>
        <w:t xml:space="preserve">Fatah </w:t>
      </w:r>
      <w:proofErr w:type="spellStart"/>
      <w:r w:rsidRPr="006909F1">
        <w:rPr>
          <w:lang w:val="en-GB"/>
        </w:rPr>
        <w:t>Nasikh</w:t>
      </w:r>
      <w:proofErr w:type="spellEnd"/>
      <w:r w:rsidRPr="006909F1">
        <w:rPr>
          <w:lang w:val="en-GB"/>
        </w:rPr>
        <w:t xml:space="preserve"> Aryawan</w:t>
      </w:r>
      <w:r w:rsidR="005F5BBA">
        <w:rPr>
          <w:vertAlign w:val="superscript"/>
          <w:lang w:val="en-GB"/>
        </w:rPr>
        <w:t>5</w:t>
      </w:r>
      <w:r w:rsidRPr="006909F1">
        <w:rPr>
          <w:lang w:val="en-GB"/>
        </w:rPr>
        <w:t>, Putra Ramadani</w:t>
      </w:r>
      <w:r w:rsidR="005F5BBA">
        <w:rPr>
          <w:vertAlign w:val="superscript"/>
          <w:lang w:val="en-GB"/>
        </w:rPr>
        <w:t>6</w:t>
      </w:r>
      <w:r w:rsidRPr="006909F1">
        <w:rPr>
          <w:lang w:val="en-GB"/>
        </w:rPr>
        <w:t xml:space="preserve">, </w:t>
      </w:r>
      <w:proofErr w:type="spellStart"/>
      <w:r w:rsidRPr="006909F1">
        <w:rPr>
          <w:lang w:val="en-GB"/>
        </w:rPr>
        <w:t>Anggi</w:t>
      </w:r>
      <w:proofErr w:type="spellEnd"/>
      <w:r w:rsidRPr="006909F1">
        <w:rPr>
          <w:lang w:val="en-GB"/>
        </w:rPr>
        <w:t xml:space="preserve"> </w:t>
      </w:r>
      <w:proofErr w:type="spellStart"/>
      <w:r w:rsidRPr="006909F1">
        <w:rPr>
          <w:lang w:val="en-GB"/>
        </w:rPr>
        <w:t>Firmanjaya</w:t>
      </w:r>
      <w:proofErr w:type="spellEnd"/>
      <w:r w:rsidRPr="006909F1">
        <w:rPr>
          <w:lang w:val="en-GB"/>
        </w:rPr>
        <w:t xml:space="preserve"> Saputra</w:t>
      </w:r>
      <w:r w:rsidR="005F5BBA">
        <w:rPr>
          <w:vertAlign w:val="superscript"/>
          <w:lang w:val="en-GB"/>
        </w:rPr>
        <w:t>7</w:t>
      </w:r>
    </w:p>
    <w:p w14:paraId="74CC95B1" w14:textId="77777777" w:rsidR="008E64A2"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proofErr w:type="spellStart"/>
      <w:r w:rsidR="00627C2D" w:rsidRPr="00627C2D">
        <w:rPr>
          <w:color w:val="auto"/>
          <w:lang w:val="en-GB"/>
        </w:rPr>
        <w:t>Universitas</w:t>
      </w:r>
      <w:proofErr w:type="spellEnd"/>
      <w:r w:rsidR="00627C2D" w:rsidRPr="00627C2D">
        <w:rPr>
          <w:color w:val="auto"/>
          <w:lang w:val="en-GB"/>
        </w:rPr>
        <w:t xml:space="preserve"> Negeri Padang</w:t>
      </w:r>
      <w:r w:rsidR="002B31FD" w:rsidRPr="002B31FD">
        <w:rPr>
          <w:color w:val="auto"/>
          <w:lang w:val="en-GB"/>
        </w:rPr>
        <w:t xml:space="preserve">; </w:t>
      </w:r>
      <w:hyperlink r:id="rId8" w:history="1">
        <w:r w:rsidR="00627C2D" w:rsidRPr="00645216">
          <w:rPr>
            <w:rStyle w:val="Hyperlink"/>
            <w:lang w:val="en-GB"/>
          </w:rPr>
          <w:t>alimharun@fip.unp.ac.id</w:t>
        </w:r>
      </w:hyperlink>
      <w:r w:rsidR="00627C2D">
        <w:rPr>
          <w:color w:val="auto"/>
          <w:lang w:val="en-GB"/>
        </w:rPr>
        <w:t xml:space="preserve">, </w:t>
      </w:r>
      <w:hyperlink r:id="rId9" w:history="1">
        <w:r w:rsidR="00723C20" w:rsidRPr="00645216">
          <w:rPr>
            <w:rStyle w:val="Hyperlink"/>
            <w:lang w:val="en-GB"/>
          </w:rPr>
          <w:t>firman.anggi.r@gmail.com</w:t>
        </w:r>
      </w:hyperlink>
      <w:r w:rsidR="00723C20">
        <w:rPr>
          <w:color w:val="auto"/>
          <w:lang w:val="en-GB"/>
        </w:rPr>
        <w:t xml:space="preserve"> </w:t>
      </w:r>
    </w:p>
    <w:p w14:paraId="6797AB19" w14:textId="721CA76D" w:rsidR="00B72F3D" w:rsidRDefault="00723C20" w:rsidP="00784B9B">
      <w:pPr>
        <w:pStyle w:val="Alishlah16affiliation"/>
        <w:rPr>
          <w:color w:val="auto"/>
          <w:lang w:val="en-GB"/>
        </w:rPr>
      </w:pPr>
      <w:r>
        <w:rPr>
          <w:color w:val="auto"/>
          <w:vertAlign w:val="superscript"/>
          <w:lang w:val="en-GB"/>
        </w:rPr>
        <w:t>2</w:t>
      </w:r>
      <w:r w:rsidR="00B72F3D" w:rsidRPr="00A75CB1">
        <w:rPr>
          <w:color w:val="auto"/>
          <w:lang w:val="en-GB"/>
        </w:rPr>
        <w:tab/>
      </w:r>
      <w:proofErr w:type="spellStart"/>
      <w:r w:rsidRPr="00723C20">
        <w:rPr>
          <w:color w:val="auto"/>
          <w:lang w:val="en-GB"/>
        </w:rPr>
        <w:t>Politeknik</w:t>
      </w:r>
      <w:proofErr w:type="spellEnd"/>
      <w:r w:rsidRPr="00723C20">
        <w:rPr>
          <w:color w:val="auto"/>
          <w:lang w:val="en-GB"/>
        </w:rPr>
        <w:t xml:space="preserve"> Negeri Malang</w:t>
      </w:r>
      <w:r w:rsidR="002B31FD" w:rsidRPr="002B31FD">
        <w:rPr>
          <w:color w:val="auto"/>
          <w:lang w:val="en-GB"/>
        </w:rPr>
        <w:t xml:space="preserve">; </w:t>
      </w:r>
      <w:hyperlink r:id="rId10" w:history="1">
        <w:r w:rsidR="00627C2D" w:rsidRPr="00645216">
          <w:rPr>
            <w:rStyle w:val="Hyperlink"/>
            <w:lang w:val="en-GB"/>
          </w:rPr>
          <w:t>rizki_putri@polinema.ac.id</w:t>
        </w:r>
      </w:hyperlink>
      <w:r w:rsidR="00627C2D">
        <w:rPr>
          <w:color w:val="auto"/>
          <w:lang w:val="en-GB"/>
        </w:rPr>
        <w:t xml:space="preserve"> </w:t>
      </w:r>
    </w:p>
    <w:p w14:paraId="504FF0FD" w14:textId="2198B814" w:rsidR="005F5BBA" w:rsidRPr="005F5BBA" w:rsidRDefault="005F5BBA" w:rsidP="00784B9B">
      <w:pPr>
        <w:pStyle w:val="Alishlah16affiliation"/>
        <w:rPr>
          <w:color w:val="auto"/>
          <w:lang w:val="en-GB"/>
        </w:rPr>
      </w:pPr>
      <w:r w:rsidRPr="005F5BBA">
        <w:rPr>
          <w:color w:val="auto"/>
          <w:vertAlign w:val="superscript"/>
          <w:lang w:val="en-GB"/>
        </w:rPr>
        <w:t xml:space="preserve">3  </w:t>
      </w:r>
      <w:r>
        <w:rPr>
          <w:color w:val="auto"/>
          <w:lang w:val="en-GB"/>
        </w:rPr>
        <w:t xml:space="preserve">  ESTV </w:t>
      </w:r>
      <w:proofErr w:type="spellStart"/>
      <w:r>
        <w:rPr>
          <w:color w:val="auto"/>
          <w:lang w:val="en-GB"/>
        </w:rPr>
        <w:t>Manuhu</w:t>
      </w:r>
      <w:proofErr w:type="spellEnd"/>
      <w:r>
        <w:rPr>
          <w:color w:val="auto"/>
          <w:lang w:val="en-GB"/>
        </w:rPr>
        <w:t xml:space="preserve"> </w:t>
      </w:r>
      <w:proofErr w:type="spellStart"/>
      <w:r>
        <w:rPr>
          <w:color w:val="auto"/>
          <w:lang w:val="en-GB"/>
        </w:rPr>
        <w:t>Bucar</w:t>
      </w:r>
      <w:proofErr w:type="spellEnd"/>
      <w:r>
        <w:rPr>
          <w:color w:val="auto"/>
          <w:lang w:val="en-GB"/>
        </w:rPr>
        <w:t xml:space="preserve"> </w:t>
      </w:r>
      <w:proofErr w:type="spellStart"/>
      <w:r>
        <w:rPr>
          <w:color w:val="auto"/>
          <w:lang w:val="en-GB"/>
        </w:rPr>
        <w:t>Manatuto</w:t>
      </w:r>
      <w:proofErr w:type="spellEnd"/>
      <w:r>
        <w:rPr>
          <w:color w:val="auto"/>
          <w:lang w:val="en-GB"/>
        </w:rPr>
        <w:t xml:space="preserve">, Timur </w:t>
      </w:r>
      <w:proofErr w:type="spellStart"/>
      <w:r>
        <w:rPr>
          <w:color w:val="auto"/>
          <w:lang w:val="en-GB"/>
        </w:rPr>
        <w:t>Leste</w:t>
      </w:r>
      <w:proofErr w:type="spellEnd"/>
      <w:r>
        <w:rPr>
          <w:color w:val="auto"/>
          <w:lang w:val="en-GB"/>
        </w:rPr>
        <w:t xml:space="preserve">; </w:t>
      </w:r>
      <w:hyperlink r:id="rId11" w:history="1">
        <w:r w:rsidRPr="003E165D">
          <w:rPr>
            <w:rStyle w:val="Hyperlink"/>
            <w:lang w:val="en-GB"/>
          </w:rPr>
          <w:t>manemesak05@gmail.com</w:t>
        </w:r>
      </w:hyperlink>
      <w:r>
        <w:rPr>
          <w:color w:val="auto"/>
          <w:lang w:val="en-GB"/>
        </w:rPr>
        <w:t xml:space="preserve"> </w:t>
      </w:r>
    </w:p>
    <w:p w14:paraId="408BCB67" w14:textId="31D7B558" w:rsidR="00723C20" w:rsidRDefault="005F5BBA" w:rsidP="00784B9B">
      <w:pPr>
        <w:pStyle w:val="Alishlah16affiliation"/>
        <w:rPr>
          <w:color w:val="auto"/>
          <w:lang w:val="en-GB"/>
        </w:rPr>
      </w:pPr>
      <w:r>
        <w:rPr>
          <w:color w:val="auto"/>
          <w:vertAlign w:val="superscript"/>
          <w:lang w:val="en-GB"/>
        </w:rPr>
        <w:t>4</w:t>
      </w:r>
      <w:r w:rsidR="00723C20" w:rsidRPr="00A75CB1">
        <w:rPr>
          <w:color w:val="auto"/>
          <w:lang w:val="en-GB"/>
        </w:rPr>
        <w:tab/>
      </w:r>
      <w:r w:rsidR="00723C20" w:rsidRPr="00723C20">
        <w:rPr>
          <w:color w:val="auto"/>
          <w:lang w:val="en-GB"/>
        </w:rPr>
        <w:t xml:space="preserve">STKIP YDB </w:t>
      </w:r>
      <w:proofErr w:type="spellStart"/>
      <w:r w:rsidR="00723C20" w:rsidRPr="00723C20">
        <w:rPr>
          <w:color w:val="auto"/>
          <w:lang w:val="en-GB"/>
        </w:rPr>
        <w:t>Lubuk</w:t>
      </w:r>
      <w:proofErr w:type="spellEnd"/>
      <w:r w:rsidR="00723C20" w:rsidRPr="00723C20">
        <w:rPr>
          <w:color w:val="auto"/>
          <w:lang w:val="en-GB"/>
        </w:rPr>
        <w:t xml:space="preserve"> </w:t>
      </w:r>
      <w:proofErr w:type="spellStart"/>
      <w:r w:rsidR="00723C20" w:rsidRPr="00723C20">
        <w:rPr>
          <w:color w:val="auto"/>
          <w:lang w:val="en-GB"/>
        </w:rPr>
        <w:t>Alung</w:t>
      </w:r>
      <w:proofErr w:type="spellEnd"/>
      <w:r w:rsidR="00723C20" w:rsidRPr="002B31FD">
        <w:rPr>
          <w:color w:val="auto"/>
          <w:lang w:val="en-GB"/>
        </w:rPr>
        <w:t xml:space="preserve">; </w:t>
      </w:r>
      <w:hyperlink r:id="rId12" w:history="1">
        <w:r w:rsidR="00877768" w:rsidRPr="00645216">
          <w:rPr>
            <w:rStyle w:val="Hyperlink"/>
            <w:lang w:val="en-GB"/>
          </w:rPr>
          <w:t>bungafebrimora@stkipydb.ac.id</w:t>
        </w:r>
      </w:hyperlink>
    </w:p>
    <w:p w14:paraId="4E0708C8" w14:textId="3F0C37D6" w:rsidR="00723C20" w:rsidRDefault="005F5BBA" w:rsidP="00784B9B">
      <w:pPr>
        <w:pStyle w:val="Alishlah16affiliation"/>
        <w:rPr>
          <w:color w:val="auto"/>
          <w:lang w:val="en-GB"/>
        </w:rPr>
      </w:pPr>
      <w:r>
        <w:rPr>
          <w:color w:val="auto"/>
          <w:vertAlign w:val="superscript"/>
          <w:lang w:val="en-GB"/>
        </w:rPr>
        <w:t>5</w:t>
      </w:r>
      <w:r w:rsidR="00723C20" w:rsidRPr="00A75CB1">
        <w:rPr>
          <w:color w:val="auto"/>
          <w:lang w:val="en-GB"/>
        </w:rPr>
        <w:tab/>
      </w:r>
      <w:proofErr w:type="spellStart"/>
      <w:r w:rsidR="00723C20" w:rsidRPr="00723C20">
        <w:rPr>
          <w:color w:val="auto"/>
          <w:lang w:val="en-GB"/>
        </w:rPr>
        <w:t>Dinas</w:t>
      </w:r>
      <w:proofErr w:type="spellEnd"/>
      <w:r w:rsidR="00723C20" w:rsidRPr="00723C20">
        <w:rPr>
          <w:color w:val="auto"/>
          <w:lang w:val="en-GB"/>
        </w:rPr>
        <w:t xml:space="preserve"> Pendidikan </w:t>
      </w:r>
      <w:proofErr w:type="spellStart"/>
      <w:r w:rsidR="00723C20" w:rsidRPr="00723C20">
        <w:rPr>
          <w:color w:val="auto"/>
          <w:lang w:val="en-GB"/>
        </w:rPr>
        <w:t>Provinsi</w:t>
      </w:r>
      <w:proofErr w:type="spellEnd"/>
      <w:r w:rsidR="00723C20" w:rsidRPr="00723C20">
        <w:rPr>
          <w:color w:val="auto"/>
          <w:lang w:val="en-GB"/>
        </w:rPr>
        <w:t xml:space="preserve"> </w:t>
      </w:r>
      <w:proofErr w:type="spellStart"/>
      <w:r w:rsidR="00723C20" w:rsidRPr="00723C20">
        <w:rPr>
          <w:color w:val="auto"/>
          <w:lang w:val="en-GB"/>
        </w:rPr>
        <w:t>Jawa</w:t>
      </w:r>
      <w:proofErr w:type="spellEnd"/>
      <w:r w:rsidR="00723C20" w:rsidRPr="00723C20">
        <w:rPr>
          <w:color w:val="auto"/>
          <w:lang w:val="en-GB"/>
        </w:rPr>
        <w:t xml:space="preserve"> Timur</w:t>
      </w:r>
      <w:r w:rsidR="00723C20" w:rsidRPr="002B31FD">
        <w:rPr>
          <w:color w:val="auto"/>
          <w:lang w:val="en-GB"/>
        </w:rPr>
        <w:t xml:space="preserve">; </w:t>
      </w:r>
      <w:hyperlink r:id="rId13" w:history="1">
        <w:r w:rsidR="00723C20" w:rsidRPr="00645216">
          <w:rPr>
            <w:rStyle w:val="Hyperlink"/>
            <w:lang w:val="en-GB"/>
          </w:rPr>
          <w:t>fatah@smkn6malang.sch.id</w:t>
        </w:r>
      </w:hyperlink>
      <w:r w:rsidR="00723C20">
        <w:rPr>
          <w:color w:val="auto"/>
          <w:lang w:val="en-GB"/>
        </w:rPr>
        <w:t xml:space="preserve"> </w:t>
      </w:r>
    </w:p>
    <w:p w14:paraId="7EE8BCBD" w14:textId="34466B44" w:rsidR="00723C20" w:rsidRDefault="005F5BBA" w:rsidP="00784B9B">
      <w:pPr>
        <w:pStyle w:val="Alishlah16affiliation"/>
        <w:rPr>
          <w:color w:val="auto"/>
          <w:lang w:val="en-GB"/>
        </w:rPr>
      </w:pPr>
      <w:r>
        <w:rPr>
          <w:color w:val="auto"/>
          <w:vertAlign w:val="superscript"/>
          <w:lang w:val="en-GB"/>
        </w:rPr>
        <w:t>6</w:t>
      </w:r>
      <w:r w:rsidR="00723C20" w:rsidRPr="00A75CB1">
        <w:rPr>
          <w:color w:val="auto"/>
          <w:lang w:val="en-GB"/>
        </w:rPr>
        <w:tab/>
      </w:r>
      <w:proofErr w:type="spellStart"/>
      <w:r w:rsidR="00723C20" w:rsidRPr="00723C20">
        <w:rPr>
          <w:color w:val="auto"/>
          <w:lang w:val="en-GB"/>
        </w:rPr>
        <w:t>Sekolah</w:t>
      </w:r>
      <w:proofErr w:type="spellEnd"/>
      <w:r w:rsidR="00723C20" w:rsidRPr="00723C20">
        <w:rPr>
          <w:color w:val="auto"/>
          <w:lang w:val="en-GB"/>
        </w:rPr>
        <w:t xml:space="preserve"> Tinggi </w:t>
      </w:r>
      <w:proofErr w:type="spellStart"/>
      <w:r w:rsidR="00723C20" w:rsidRPr="00723C20">
        <w:rPr>
          <w:color w:val="auto"/>
          <w:lang w:val="en-GB"/>
        </w:rPr>
        <w:t>Ilmu</w:t>
      </w:r>
      <w:proofErr w:type="spellEnd"/>
      <w:r w:rsidR="00723C20" w:rsidRPr="00723C20">
        <w:rPr>
          <w:color w:val="auto"/>
          <w:lang w:val="en-GB"/>
        </w:rPr>
        <w:t xml:space="preserve"> Bahasa Arab dan </w:t>
      </w:r>
      <w:proofErr w:type="spellStart"/>
      <w:r w:rsidR="00723C20" w:rsidRPr="00723C20">
        <w:rPr>
          <w:color w:val="auto"/>
          <w:lang w:val="en-GB"/>
        </w:rPr>
        <w:t>Dakwah</w:t>
      </w:r>
      <w:proofErr w:type="spellEnd"/>
      <w:r w:rsidR="00723C20" w:rsidRPr="00723C20">
        <w:rPr>
          <w:color w:val="auto"/>
          <w:lang w:val="en-GB"/>
        </w:rPr>
        <w:t xml:space="preserve"> Masjid Agung </w:t>
      </w:r>
      <w:proofErr w:type="spellStart"/>
      <w:r w:rsidR="00723C20" w:rsidRPr="00723C20">
        <w:rPr>
          <w:color w:val="auto"/>
          <w:lang w:val="en-GB"/>
        </w:rPr>
        <w:t>Sunan</w:t>
      </w:r>
      <w:proofErr w:type="spellEnd"/>
      <w:r w:rsidR="00723C20" w:rsidRPr="00723C20">
        <w:rPr>
          <w:color w:val="auto"/>
          <w:lang w:val="en-GB"/>
        </w:rPr>
        <w:t xml:space="preserve"> </w:t>
      </w:r>
      <w:proofErr w:type="spellStart"/>
      <w:r w:rsidR="00723C20" w:rsidRPr="00723C20">
        <w:rPr>
          <w:color w:val="auto"/>
          <w:lang w:val="en-GB"/>
        </w:rPr>
        <w:t>Ampel</w:t>
      </w:r>
      <w:proofErr w:type="spellEnd"/>
      <w:r w:rsidR="00723C20" w:rsidRPr="002B31FD">
        <w:rPr>
          <w:color w:val="auto"/>
          <w:lang w:val="en-GB"/>
        </w:rPr>
        <w:t xml:space="preserve">; </w:t>
      </w:r>
      <w:hyperlink r:id="rId14" w:history="1">
        <w:r w:rsidR="00723C20" w:rsidRPr="00645216">
          <w:rPr>
            <w:rStyle w:val="Hyperlink"/>
            <w:lang w:val="en-GB"/>
          </w:rPr>
          <w:t>ramadani@stibada.ac.id</w:t>
        </w:r>
      </w:hyperlink>
    </w:p>
    <w:p w14:paraId="419DA7EE" w14:textId="3AAFD1E5" w:rsidR="00877768" w:rsidRDefault="005F5BBA" w:rsidP="00784B9B">
      <w:pPr>
        <w:pStyle w:val="Alishlah16affiliation"/>
        <w:rPr>
          <w:color w:val="auto"/>
          <w:lang w:val="en-GB"/>
        </w:rPr>
      </w:pPr>
      <w:r>
        <w:rPr>
          <w:color w:val="auto"/>
          <w:vertAlign w:val="superscript"/>
          <w:lang w:val="en-GB"/>
        </w:rPr>
        <w:t>7</w:t>
      </w:r>
      <w:bookmarkStart w:id="0" w:name="_GoBack"/>
      <w:bookmarkEnd w:id="0"/>
      <w:r w:rsidR="00877768" w:rsidRPr="00A75CB1">
        <w:rPr>
          <w:color w:val="auto"/>
          <w:lang w:val="en-GB"/>
        </w:rPr>
        <w:tab/>
      </w:r>
      <w:proofErr w:type="spellStart"/>
      <w:r w:rsidR="00877768" w:rsidRPr="00627C2D">
        <w:rPr>
          <w:color w:val="auto"/>
          <w:lang w:val="en-GB"/>
        </w:rPr>
        <w:t>Universitas</w:t>
      </w:r>
      <w:proofErr w:type="spellEnd"/>
      <w:r w:rsidR="00877768" w:rsidRPr="00627C2D">
        <w:rPr>
          <w:color w:val="auto"/>
          <w:lang w:val="en-GB"/>
        </w:rPr>
        <w:t xml:space="preserve"> Negeri Padang</w:t>
      </w:r>
      <w:r w:rsidR="00877768">
        <w:rPr>
          <w:color w:val="auto"/>
          <w:lang w:val="en-GB"/>
        </w:rPr>
        <w:t xml:space="preserve">; </w:t>
      </w:r>
      <w:hyperlink r:id="rId15" w:history="1">
        <w:r w:rsidR="00877768" w:rsidRPr="00645216">
          <w:rPr>
            <w:rStyle w:val="Hyperlink"/>
            <w:lang w:val="en-GB"/>
          </w:rPr>
          <w:t>firman.anggi.r@gmail.com</w:t>
        </w:r>
      </w:hyperlink>
    </w:p>
    <w:p w14:paraId="5840264F"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2C7DF348" w14:textId="77777777" w:rsidTr="0048254D">
        <w:trPr>
          <w:jc w:val="center"/>
        </w:trPr>
        <w:tc>
          <w:tcPr>
            <w:tcW w:w="2787" w:type="dxa"/>
            <w:tcBorders>
              <w:top w:val="double" w:sz="4" w:space="0" w:color="auto"/>
              <w:left w:val="nil"/>
              <w:bottom w:val="single" w:sz="4" w:space="0" w:color="auto"/>
              <w:right w:val="nil"/>
            </w:tcBorders>
          </w:tcPr>
          <w:p w14:paraId="300A7E2A"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1D96E674"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4113B7C6"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6EC79181" w14:textId="77777777" w:rsidTr="0048254D">
        <w:trPr>
          <w:trHeight w:val="1268"/>
          <w:jc w:val="center"/>
        </w:trPr>
        <w:tc>
          <w:tcPr>
            <w:tcW w:w="2787" w:type="dxa"/>
            <w:tcBorders>
              <w:top w:val="single" w:sz="4" w:space="0" w:color="auto"/>
              <w:left w:val="nil"/>
              <w:bottom w:val="single" w:sz="4" w:space="0" w:color="auto"/>
              <w:right w:val="nil"/>
            </w:tcBorders>
          </w:tcPr>
          <w:p w14:paraId="76EAEE84"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2DCD243B" w14:textId="77777777" w:rsidR="002B31FD" w:rsidRDefault="00877768" w:rsidP="00290481">
            <w:pPr>
              <w:pStyle w:val="Alishlah18keywords"/>
            </w:pPr>
            <w:r w:rsidRPr="00877768">
              <w:t>BIPA (Indonesian for Foreign Speakers)</w:t>
            </w:r>
            <w:r>
              <w:t>1</w:t>
            </w:r>
            <w:r w:rsidR="002B31FD" w:rsidRPr="002B31FD">
              <w:t xml:space="preserve">; </w:t>
            </w:r>
            <w:r w:rsidRPr="00877768">
              <w:t>language policy</w:t>
            </w:r>
            <w:r>
              <w:t xml:space="preserve">2; </w:t>
            </w:r>
            <w:r w:rsidRPr="00877768">
              <w:t>teacher training models</w:t>
            </w:r>
            <w:r>
              <w:t xml:space="preserve">3; </w:t>
            </w:r>
            <w:r w:rsidRPr="00877768">
              <w:t>systematic literature review</w:t>
            </w:r>
            <w:r>
              <w:t xml:space="preserve">4; </w:t>
            </w:r>
            <w:r w:rsidRPr="00877768">
              <w:t>cultural diplomacy</w:t>
            </w:r>
            <w:r>
              <w:t>5</w:t>
            </w:r>
          </w:p>
          <w:p w14:paraId="31F3C307" w14:textId="77777777" w:rsidR="002B31FD" w:rsidRDefault="002B31FD" w:rsidP="00290481">
            <w:pPr>
              <w:pStyle w:val="Alishlah18keywords"/>
            </w:pPr>
          </w:p>
          <w:p w14:paraId="6F8DA3FB" w14:textId="77777777" w:rsidR="0048254D" w:rsidRPr="0048254D" w:rsidRDefault="002B31FD" w:rsidP="00290481">
            <w:pPr>
              <w:pStyle w:val="Alishlah18keywords"/>
            </w:pPr>
            <w:r w:rsidRPr="002B31FD">
              <w:t>(List three to five pertinent keywords specific to the article; yet reasonably common within the subject discipline; use lower case except for names)</w:t>
            </w:r>
            <w:r w:rsidR="00290481">
              <w:t>.</w:t>
            </w:r>
          </w:p>
          <w:p w14:paraId="27D8B61E" w14:textId="77777777"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3FCF5FF6"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11A129A6" w14:textId="77777777" w:rsidR="0048254D" w:rsidRPr="00E45249" w:rsidRDefault="00877768" w:rsidP="00E45249">
            <w:pPr>
              <w:pStyle w:val="Alishlah17abstract"/>
            </w:pPr>
            <w:r w:rsidRPr="00877768">
              <w:t xml:space="preserve">The enactment of Indonesia's Law No. 24/2009 positioned the promotion of Bahasa Indonesia as an international language as a national priority, elevating Bahasa Indonesia </w:t>
            </w:r>
            <w:proofErr w:type="spellStart"/>
            <w:r w:rsidRPr="00877768">
              <w:t>untuk</w:t>
            </w:r>
            <w:proofErr w:type="spellEnd"/>
            <w:r w:rsidRPr="00877768">
              <w:t xml:space="preserve"> </w:t>
            </w:r>
            <w:proofErr w:type="spellStart"/>
            <w:r w:rsidRPr="00877768">
              <w:t>Penutur</w:t>
            </w:r>
            <w:proofErr w:type="spellEnd"/>
            <w:r w:rsidRPr="00877768">
              <w:t xml:space="preserve"> </w:t>
            </w:r>
            <w:proofErr w:type="spellStart"/>
            <w:r w:rsidRPr="00877768">
              <w:t>Asing</w:t>
            </w:r>
            <w:proofErr w:type="spellEnd"/>
            <w:r w:rsidRPr="00877768">
              <w:t xml:space="preserve"> (BIPA) to a strategic instrument of cultural diplomacy. However, a systematic analysis of the resulting pedagogical models and strategies for BIPA training in key international contexts has been lacking. This systematic literature review (PRISMA 2020) therefore aimed to synthesize the development of BIPA training models in Southeast Asia and the United States from 2009 to 2024. A rigorous search of Scopus, ERIC, and Google Scholar yielded 15 studies for qualitative thematic synthesis. Results reveal a distinct divergence in development: institutional expansion and regional integration characterize Southeast Asia, while niche sustainability within the Less Commonly Taught Languages (LCTL) framework defines the U.S. context. Predominant strategies evolved from curriculum standardization (e.g., CEFR adaptation) to technological integration and teacher professional development. The discussion highlights a significant implementation gap, where grassroots pedagogical innovation, rather than top-down prescription, has driven model creation. The study concludes that BIPA's internationalization relies on supporting this decentralized, practitioner-led ecosystem through strategic funding, partnership facilitation, and a strengthened evidence base, offering crucial insights for policymakers and educators in aligning diplomatic ambition with effective pedagogical practice.</w:t>
            </w:r>
          </w:p>
        </w:tc>
      </w:tr>
      <w:tr w:rsidR="0048254D" w:rsidRPr="0048254D" w14:paraId="33688DCE"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925F7A6"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409A89D3" w14:textId="77777777" w:rsidR="0048254D" w:rsidRPr="006A6719" w:rsidRDefault="0048254D" w:rsidP="00E45249">
            <w:pPr>
              <w:pStyle w:val="Alishlah14history"/>
            </w:pPr>
            <w:r w:rsidRPr="006A6719">
              <w:t xml:space="preserve">Received </w:t>
            </w:r>
            <w:r w:rsidR="00FA43FF" w:rsidRPr="00FA43FF">
              <w:t>2021-08-14</w:t>
            </w:r>
          </w:p>
          <w:p w14:paraId="03A63A80" w14:textId="77777777" w:rsidR="0048254D" w:rsidRPr="006A6719" w:rsidRDefault="0048254D" w:rsidP="00E45249">
            <w:pPr>
              <w:pStyle w:val="Alishlah14history"/>
            </w:pPr>
            <w:r w:rsidRPr="006A6719">
              <w:t xml:space="preserve">Revised </w:t>
            </w:r>
            <w:r w:rsidR="00675603" w:rsidRPr="006A6719">
              <w:tab/>
            </w:r>
            <w:r w:rsidR="00FA43FF" w:rsidRPr="00FA43FF">
              <w:t>2021-11-12</w:t>
            </w:r>
          </w:p>
          <w:p w14:paraId="1B1EE19F" w14:textId="77777777"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14:paraId="0AC24F2E"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5B6456F3"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615F382E" w14:textId="77777777" w:rsidTr="0048254D">
        <w:trPr>
          <w:trHeight w:val="70"/>
          <w:jc w:val="center"/>
        </w:trPr>
        <w:tc>
          <w:tcPr>
            <w:tcW w:w="2787" w:type="dxa"/>
            <w:vMerge/>
            <w:tcBorders>
              <w:top w:val="single" w:sz="4" w:space="0" w:color="auto"/>
              <w:left w:val="nil"/>
              <w:bottom w:val="single" w:sz="4" w:space="0" w:color="auto"/>
              <w:right w:val="nil"/>
            </w:tcBorders>
          </w:tcPr>
          <w:p w14:paraId="4D14F665"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383D635F"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261A15D2"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6"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51C3D8C1"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lastRenderedPageBreak/>
              <w:drawing>
                <wp:inline distT="0" distB="0" distL="0" distR="0" wp14:anchorId="1DB2EF0D" wp14:editId="748994D8">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0B224791" w14:textId="77777777" w:rsidTr="0048254D">
        <w:trPr>
          <w:jc w:val="center"/>
        </w:trPr>
        <w:tc>
          <w:tcPr>
            <w:tcW w:w="8845" w:type="dxa"/>
            <w:gridSpan w:val="3"/>
            <w:tcBorders>
              <w:top w:val="nil"/>
              <w:left w:val="nil"/>
              <w:bottom w:val="double" w:sz="4" w:space="0" w:color="auto"/>
              <w:right w:val="nil"/>
            </w:tcBorders>
          </w:tcPr>
          <w:p w14:paraId="1CFB3546" w14:textId="77777777" w:rsidR="0048254D" w:rsidRPr="00E45249" w:rsidRDefault="0048254D" w:rsidP="00E45249">
            <w:pPr>
              <w:pStyle w:val="Alishlah16affiliation"/>
              <w:ind w:left="0" w:firstLine="10"/>
              <w:rPr>
                <w:b/>
                <w:bCs/>
              </w:rPr>
            </w:pPr>
            <w:bookmarkStart w:id="1" w:name="_Hlk97159440"/>
            <w:r w:rsidRPr="00E45249">
              <w:rPr>
                <w:b/>
                <w:bCs/>
              </w:rPr>
              <w:lastRenderedPageBreak/>
              <w:t>Corresponding Author</w:t>
            </w:r>
            <w:bookmarkEnd w:id="1"/>
            <w:r w:rsidRPr="00E45249">
              <w:rPr>
                <w:b/>
                <w:bCs/>
              </w:rPr>
              <w:t>:</w:t>
            </w:r>
          </w:p>
          <w:p w14:paraId="6C377BDE" w14:textId="77777777" w:rsidR="00457015" w:rsidRDefault="002B31FD" w:rsidP="00E45249">
            <w:pPr>
              <w:pStyle w:val="Alishlah2authorcorrespondence"/>
            </w:pPr>
            <w:r w:rsidRPr="002B31FD">
              <w:t>First name Last name</w:t>
            </w:r>
            <w:r w:rsidR="00457015" w:rsidRPr="00457015">
              <w:t xml:space="preserve"> </w:t>
            </w:r>
          </w:p>
          <w:p w14:paraId="2797F1C1" w14:textId="77777777" w:rsidR="0048254D" w:rsidRPr="0048254D" w:rsidRDefault="002B31FD" w:rsidP="00E45249">
            <w:pPr>
              <w:pStyle w:val="Alishlah2authorcorrespondence"/>
            </w:pPr>
            <w:r w:rsidRPr="002B31FD">
              <w:rPr>
                <w:color w:val="auto"/>
                <w:lang w:val="en-GB"/>
              </w:rPr>
              <w:t>Affiliation 1; e-mail@e-mail.com</w:t>
            </w:r>
          </w:p>
        </w:tc>
      </w:tr>
    </w:tbl>
    <w:p w14:paraId="3D203FF8" w14:textId="77777777" w:rsidR="008E64A2" w:rsidRPr="00A75CB1" w:rsidRDefault="0048254D" w:rsidP="00A10E86">
      <w:pPr>
        <w:pStyle w:val="Alishlah21heading1"/>
        <w:rPr>
          <w:lang w:val="en-GB"/>
        </w:rPr>
      </w:pPr>
      <w:r w:rsidRPr="00A75CB1">
        <w:rPr>
          <w:lang w:val="en-GB"/>
        </w:rPr>
        <w:t>INTRODUCTION</w:t>
      </w:r>
    </w:p>
    <w:p w14:paraId="1942F313" w14:textId="77777777" w:rsidR="00877768" w:rsidRPr="00877768" w:rsidRDefault="00877768" w:rsidP="00877768">
      <w:pPr>
        <w:pStyle w:val="Alishlah31text"/>
        <w:rPr>
          <w:spacing w:val="-2"/>
        </w:rPr>
      </w:pPr>
      <w:r w:rsidRPr="00877768">
        <w:rPr>
          <w:spacing w:val="-2"/>
        </w:rPr>
        <w:t xml:space="preserve">The strategic promotion of a national language on the global stage is a recognized instrument of soft power and cultural diplomacy, serving to enhance a nation's international profile, foster intercultural understanding, and create economic and diplomatic linkages (Nye, 2008; Lien &amp; Hung, 2022). In the context of Indonesia, this </w:t>
      </w:r>
      <w:proofErr w:type="spellStart"/>
      <w:r w:rsidRPr="00877768">
        <w:rPr>
          <w:spacing w:val="-2"/>
        </w:rPr>
        <w:t>endeavour</w:t>
      </w:r>
      <w:proofErr w:type="spellEnd"/>
      <w:r w:rsidRPr="00877768">
        <w:rPr>
          <w:spacing w:val="-2"/>
        </w:rPr>
        <w:t xml:space="preserve"> is crystallized in the teaching of Bahasa Indonesia </w:t>
      </w:r>
      <w:proofErr w:type="spellStart"/>
      <w:r w:rsidRPr="00877768">
        <w:rPr>
          <w:spacing w:val="-2"/>
        </w:rPr>
        <w:t>untuk</w:t>
      </w:r>
      <w:proofErr w:type="spellEnd"/>
      <w:r w:rsidRPr="00877768">
        <w:rPr>
          <w:spacing w:val="-2"/>
        </w:rPr>
        <w:t xml:space="preserve"> </w:t>
      </w:r>
      <w:proofErr w:type="spellStart"/>
      <w:r w:rsidRPr="00877768">
        <w:rPr>
          <w:spacing w:val="-2"/>
        </w:rPr>
        <w:t>Penutur</w:t>
      </w:r>
      <w:proofErr w:type="spellEnd"/>
      <w:r w:rsidRPr="00877768">
        <w:rPr>
          <w:spacing w:val="-2"/>
        </w:rPr>
        <w:t xml:space="preserve"> </w:t>
      </w:r>
      <w:proofErr w:type="spellStart"/>
      <w:r w:rsidRPr="00877768">
        <w:rPr>
          <w:spacing w:val="-2"/>
        </w:rPr>
        <w:t>Asing</w:t>
      </w:r>
      <w:proofErr w:type="spellEnd"/>
      <w:r w:rsidRPr="00877768">
        <w:rPr>
          <w:spacing w:val="-2"/>
        </w:rPr>
        <w:t xml:space="preserve"> (BIPA), or Indonesian for Foreign Speakers. The formalization of this mission was significantly catalyzed by the enactment of </w:t>
      </w:r>
      <w:proofErr w:type="spellStart"/>
      <w:r w:rsidRPr="00877768">
        <w:rPr>
          <w:spacing w:val="-2"/>
        </w:rPr>
        <w:t>Undang-Undang</w:t>
      </w:r>
      <w:proofErr w:type="spellEnd"/>
      <w:r w:rsidRPr="00877768">
        <w:rPr>
          <w:spacing w:val="-2"/>
        </w:rPr>
        <w:t xml:space="preserve"> </w:t>
      </w:r>
      <w:proofErr w:type="spellStart"/>
      <w:r w:rsidRPr="00877768">
        <w:rPr>
          <w:spacing w:val="-2"/>
        </w:rPr>
        <w:t>Republik</w:t>
      </w:r>
      <w:proofErr w:type="spellEnd"/>
      <w:r w:rsidRPr="00877768">
        <w:rPr>
          <w:spacing w:val="-2"/>
        </w:rPr>
        <w:t xml:space="preserve"> Indonesia </w:t>
      </w:r>
      <w:proofErr w:type="spellStart"/>
      <w:r w:rsidRPr="00877768">
        <w:rPr>
          <w:spacing w:val="-2"/>
        </w:rPr>
        <w:t>Nomor</w:t>
      </w:r>
      <w:proofErr w:type="spellEnd"/>
      <w:r w:rsidRPr="00877768">
        <w:rPr>
          <w:spacing w:val="-2"/>
        </w:rPr>
        <w:t xml:space="preserve"> 24 </w:t>
      </w:r>
      <w:proofErr w:type="spellStart"/>
      <w:r w:rsidRPr="00877768">
        <w:rPr>
          <w:spacing w:val="-2"/>
        </w:rPr>
        <w:t>Tahun</w:t>
      </w:r>
      <w:proofErr w:type="spellEnd"/>
      <w:r w:rsidRPr="00877768">
        <w:rPr>
          <w:spacing w:val="-2"/>
        </w:rPr>
        <w:t xml:space="preserve"> 2009 </w:t>
      </w:r>
      <w:proofErr w:type="spellStart"/>
      <w:r w:rsidRPr="00877768">
        <w:rPr>
          <w:spacing w:val="-2"/>
        </w:rPr>
        <w:t>tentang</w:t>
      </w:r>
      <w:proofErr w:type="spellEnd"/>
      <w:r w:rsidRPr="00877768">
        <w:rPr>
          <w:spacing w:val="-2"/>
        </w:rPr>
        <w:t xml:space="preserve"> </w:t>
      </w:r>
      <w:proofErr w:type="spellStart"/>
      <w:r w:rsidRPr="00877768">
        <w:rPr>
          <w:spacing w:val="-2"/>
        </w:rPr>
        <w:t>Bendera</w:t>
      </w:r>
      <w:proofErr w:type="spellEnd"/>
      <w:r w:rsidRPr="00877768">
        <w:rPr>
          <w:spacing w:val="-2"/>
        </w:rPr>
        <w:t xml:space="preserve">, Bahasa, dan </w:t>
      </w:r>
      <w:proofErr w:type="spellStart"/>
      <w:r w:rsidRPr="00877768">
        <w:rPr>
          <w:spacing w:val="-2"/>
        </w:rPr>
        <w:t>Lambang</w:t>
      </w:r>
      <w:proofErr w:type="spellEnd"/>
      <w:r w:rsidRPr="00877768">
        <w:rPr>
          <w:spacing w:val="-2"/>
        </w:rPr>
        <w:t xml:space="preserve"> Negara, </w:t>
      </w:r>
      <w:proofErr w:type="spellStart"/>
      <w:r w:rsidRPr="00877768">
        <w:rPr>
          <w:spacing w:val="-2"/>
        </w:rPr>
        <w:t>serta</w:t>
      </w:r>
      <w:proofErr w:type="spellEnd"/>
      <w:r w:rsidRPr="00877768">
        <w:rPr>
          <w:spacing w:val="-2"/>
        </w:rPr>
        <w:t xml:space="preserve"> </w:t>
      </w:r>
      <w:proofErr w:type="spellStart"/>
      <w:r w:rsidRPr="00877768">
        <w:rPr>
          <w:spacing w:val="-2"/>
        </w:rPr>
        <w:t>Lagu</w:t>
      </w:r>
      <w:proofErr w:type="spellEnd"/>
      <w:r w:rsidRPr="00877768">
        <w:rPr>
          <w:spacing w:val="-2"/>
        </w:rPr>
        <w:t xml:space="preserve"> </w:t>
      </w:r>
      <w:proofErr w:type="spellStart"/>
      <w:r w:rsidRPr="00877768">
        <w:rPr>
          <w:spacing w:val="-2"/>
        </w:rPr>
        <w:t>Kebangsaan</w:t>
      </w:r>
      <w:proofErr w:type="spellEnd"/>
      <w:r w:rsidRPr="00877768">
        <w:rPr>
          <w:spacing w:val="-2"/>
        </w:rPr>
        <w:t xml:space="preserve"> (Law No. 24/2009). This landmark legislation, particularly in Chapter III on the State Language, not only reaffirmed the status of Indonesian as the national language but also explicitly mandated the government to "enhance the function of the Indonesian language to become an international language in a gradual, systematic, and sustainable manner" (Article 44). This policy shift transformed BIPA from a purely pedagogical concern into a matter of national strategic interest, directly linking language education to broader goals of cultural diplomacy and national identity projection (Susanto et al., 2024).</w:t>
      </w:r>
    </w:p>
    <w:p w14:paraId="3873DB8C" w14:textId="77777777" w:rsidR="00877768" w:rsidRPr="00877768" w:rsidRDefault="00877768" w:rsidP="00877768">
      <w:pPr>
        <w:pStyle w:val="Alishlah31text"/>
        <w:rPr>
          <w:spacing w:val="-2"/>
        </w:rPr>
      </w:pPr>
      <w:r w:rsidRPr="00877768">
        <w:rPr>
          <w:spacing w:val="-2"/>
        </w:rPr>
        <w:t xml:space="preserve">Institutional responsibility for executing this strategic vision was initially vested in bodies such as the Pusat </w:t>
      </w:r>
      <w:proofErr w:type="spellStart"/>
      <w:r w:rsidRPr="00877768">
        <w:rPr>
          <w:spacing w:val="-2"/>
        </w:rPr>
        <w:t>Pengembangan</w:t>
      </w:r>
      <w:proofErr w:type="spellEnd"/>
      <w:r w:rsidRPr="00877768">
        <w:rPr>
          <w:spacing w:val="-2"/>
        </w:rPr>
        <w:t xml:space="preserve"> </w:t>
      </w:r>
      <w:proofErr w:type="spellStart"/>
      <w:r w:rsidRPr="00877768">
        <w:rPr>
          <w:spacing w:val="-2"/>
        </w:rPr>
        <w:t>Strategi</w:t>
      </w:r>
      <w:proofErr w:type="spellEnd"/>
      <w:r w:rsidRPr="00877768">
        <w:rPr>
          <w:spacing w:val="-2"/>
        </w:rPr>
        <w:t xml:space="preserve"> dan </w:t>
      </w:r>
      <w:proofErr w:type="spellStart"/>
      <w:r w:rsidRPr="00877768">
        <w:rPr>
          <w:spacing w:val="-2"/>
        </w:rPr>
        <w:t>Diplomasi</w:t>
      </w:r>
      <w:proofErr w:type="spellEnd"/>
      <w:r w:rsidRPr="00877768">
        <w:rPr>
          <w:spacing w:val="-2"/>
        </w:rPr>
        <w:t xml:space="preserve"> </w:t>
      </w:r>
      <w:proofErr w:type="spellStart"/>
      <w:r w:rsidRPr="00877768">
        <w:rPr>
          <w:spacing w:val="-2"/>
        </w:rPr>
        <w:t>Kebahasaan</w:t>
      </w:r>
      <w:proofErr w:type="spellEnd"/>
      <w:r w:rsidRPr="00877768">
        <w:rPr>
          <w:spacing w:val="-2"/>
        </w:rPr>
        <w:t xml:space="preserve"> (PPSDK), later reformed into the Pusat </w:t>
      </w:r>
      <w:proofErr w:type="spellStart"/>
      <w:r w:rsidRPr="00877768">
        <w:rPr>
          <w:spacing w:val="-2"/>
        </w:rPr>
        <w:t>Pengembangan</w:t>
      </w:r>
      <w:proofErr w:type="spellEnd"/>
      <w:r w:rsidRPr="00877768">
        <w:rPr>
          <w:spacing w:val="-2"/>
        </w:rPr>
        <w:t xml:space="preserve"> </w:t>
      </w:r>
      <w:proofErr w:type="spellStart"/>
      <w:r w:rsidRPr="00877768">
        <w:rPr>
          <w:spacing w:val="-2"/>
        </w:rPr>
        <w:t>Strategi</w:t>
      </w:r>
      <w:proofErr w:type="spellEnd"/>
      <w:r w:rsidRPr="00877768">
        <w:rPr>
          <w:spacing w:val="-2"/>
        </w:rPr>
        <w:t xml:space="preserve"> dan </w:t>
      </w:r>
      <w:proofErr w:type="spellStart"/>
      <w:r w:rsidRPr="00877768">
        <w:rPr>
          <w:spacing w:val="-2"/>
        </w:rPr>
        <w:t>Diplomasi</w:t>
      </w:r>
      <w:proofErr w:type="spellEnd"/>
      <w:r w:rsidRPr="00877768">
        <w:rPr>
          <w:spacing w:val="-2"/>
        </w:rPr>
        <w:t xml:space="preserve"> </w:t>
      </w:r>
      <w:proofErr w:type="spellStart"/>
      <w:r w:rsidRPr="00877768">
        <w:rPr>
          <w:spacing w:val="-2"/>
        </w:rPr>
        <w:t>Kebudayaan</w:t>
      </w:r>
      <w:proofErr w:type="spellEnd"/>
      <w:r w:rsidRPr="00877768">
        <w:rPr>
          <w:spacing w:val="-2"/>
        </w:rPr>
        <w:t xml:space="preserve"> (PPSDK). This </w:t>
      </w:r>
      <w:proofErr w:type="spellStart"/>
      <w:r w:rsidRPr="00877768">
        <w:rPr>
          <w:spacing w:val="-2"/>
        </w:rPr>
        <w:t>centre</w:t>
      </w:r>
      <w:proofErr w:type="spellEnd"/>
      <w:r w:rsidRPr="00877768">
        <w:rPr>
          <w:spacing w:val="-2"/>
        </w:rPr>
        <w:t xml:space="preserve"> was tasked with developing the methodologies, curricula, and training frameworks necessary for effective BIPA instruction worldwide (</w:t>
      </w:r>
      <w:proofErr w:type="spellStart"/>
      <w:r w:rsidRPr="00877768">
        <w:rPr>
          <w:spacing w:val="-2"/>
        </w:rPr>
        <w:t>Kemendikbud</w:t>
      </w:r>
      <w:proofErr w:type="spellEnd"/>
      <w:r w:rsidRPr="00877768">
        <w:rPr>
          <w:spacing w:val="-2"/>
        </w:rPr>
        <w:t>, 2018). However, the landscape of BIPA program implementation, particularly the models and strategies for training both educators and learners, remains critically underexplored in systematic academic literature. While studies exist on discrete aspects—such as cross-linguistic challenges for learners (</w:t>
      </w:r>
      <w:proofErr w:type="spellStart"/>
      <w:r w:rsidRPr="00877768">
        <w:rPr>
          <w:spacing w:val="-2"/>
        </w:rPr>
        <w:t>Permadi</w:t>
      </w:r>
      <w:proofErr w:type="spellEnd"/>
      <w:r w:rsidRPr="00877768">
        <w:rPr>
          <w:spacing w:val="-2"/>
        </w:rPr>
        <w:t xml:space="preserve"> et al., 2022), curriculum evaluation (</w:t>
      </w:r>
      <w:proofErr w:type="spellStart"/>
      <w:r w:rsidRPr="00877768">
        <w:rPr>
          <w:spacing w:val="-2"/>
        </w:rPr>
        <w:t>Ardiyanti</w:t>
      </w:r>
      <w:proofErr w:type="spellEnd"/>
      <w:r w:rsidRPr="00877768">
        <w:rPr>
          <w:spacing w:val="-2"/>
        </w:rPr>
        <w:t>, 2024), or the application of specific technologies like augmented reality in cultural instruction (</w:t>
      </w:r>
      <w:proofErr w:type="spellStart"/>
      <w:r w:rsidRPr="00877768">
        <w:rPr>
          <w:spacing w:val="-2"/>
        </w:rPr>
        <w:t>Pratama</w:t>
      </w:r>
      <w:proofErr w:type="spellEnd"/>
      <w:r w:rsidRPr="00877768">
        <w:rPr>
          <w:spacing w:val="-2"/>
        </w:rPr>
        <w:t xml:space="preserve"> et al., 2022)—a comprehensive, comparative, and temporally situated analysis of training models and strategies is conspicuously absent.</w:t>
      </w:r>
    </w:p>
    <w:p w14:paraId="4FBA53D0" w14:textId="77777777" w:rsidR="00877768" w:rsidRPr="00877768" w:rsidRDefault="00877768" w:rsidP="00877768">
      <w:pPr>
        <w:pStyle w:val="Alishlah31text"/>
        <w:rPr>
          <w:spacing w:val="-2"/>
        </w:rPr>
      </w:pPr>
      <w:r w:rsidRPr="00877768">
        <w:rPr>
          <w:spacing w:val="-2"/>
        </w:rPr>
        <w:t xml:space="preserve">This gap is especially pronounced when examining BIPA’s development across different geopolitical contexts. In Southeast Asia, the teaching of Indonesian is often situated within a complex matrix of regional kinship, historical ties, </w:t>
      </w:r>
      <w:proofErr w:type="spellStart"/>
      <w:r w:rsidRPr="00877768">
        <w:rPr>
          <w:spacing w:val="-2"/>
        </w:rPr>
        <w:t>labour</w:t>
      </w:r>
      <w:proofErr w:type="spellEnd"/>
      <w:r w:rsidRPr="00877768">
        <w:rPr>
          <w:spacing w:val="-2"/>
        </w:rPr>
        <w:t xml:space="preserve"> mobility, and ASEAN community-building. The establishment of programs, such as the Indonesian Language Education study program at UIN </w:t>
      </w:r>
      <w:proofErr w:type="spellStart"/>
      <w:r w:rsidRPr="00877768">
        <w:rPr>
          <w:spacing w:val="-2"/>
        </w:rPr>
        <w:t>Antasari</w:t>
      </w:r>
      <w:proofErr w:type="spellEnd"/>
      <w:r w:rsidRPr="00877768">
        <w:rPr>
          <w:spacing w:val="-2"/>
        </w:rPr>
        <w:t xml:space="preserve"> Banjarmasin, highlights the institutional responses to this regional demand, though they face challenges in resource allocation and program development (</w:t>
      </w:r>
      <w:proofErr w:type="spellStart"/>
      <w:r w:rsidRPr="00877768">
        <w:rPr>
          <w:spacing w:val="-2"/>
        </w:rPr>
        <w:t>Mufidah</w:t>
      </w:r>
      <w:proofErr w:type="spellEnd"/>
      <w:r w:rsidRPr="00877768">
        <w:rPr>
          <w:spacing w:val="-2"/>
        </w:rPr>
        <w:t xml:space="preserve"> &amp; Sari, 2022). Conversely, in the United States, Indonesian is categorized as a Less Commonly Taught Language (LCTL). Its instruction navigates a distinct set of challenges within the American educational ecosystem, including issues of program sustainability, teacher certification, and competition with other world languages, tensions common to Asian language bilingual education programs (Wong &amp; Hill, 2023). The Fulbright Foreign Language Teaching Assistant (FLTA) program represents one key channel for pedagogical exchange and teacher development in this context, impacting participants' professional growth and intercultural competence (</w:t>
      </w:r>
      <w:proofErr w:type="spellStart"/>
      <w:r w:rsidRPr="00877768">
        <w:rPr>
          <w:spacing w:val="-2"/>
        </w:rPr>
        <w:t>Velásquez-Hoyos</w:t>
      </w:r>
      <w:proofErr w:type="spellEnd"/>
      <w:r w:rsidRPr="00877768">
        <w:rPr>
          <w:spacing w:val="-2"/>
        </w:rPr>
        <w:t xml:space="preserve"> &amp; Martínez-Burgos, 2023). Yet, the evolution of pedagogical models and institutional strategies in these two divergent contexts post-2009 has not been systematically mapped or compared.</w:t>
      </w:r>
    </w:p>
    <w:p w14:paraId="3A2E371E" w14:textId="77777777" w:rsidR="00877768" w:rsidRDefault="00877768" w:rsidP="00877768">
      <w:pPr>
        <w:pStyle w:val="Alishlah31text"/>
        <w:rPr>
          <w:spacing w:val="-2"/>
        </w:rPr>
      </w:pPr>
      <w:r w:rsidRPr="00877768">
        <w:rPr>
          <w:spacing w:val="-2"/>
        </w:rPr>
        <w:t xml:space="preserve">The absence of such a synthesis represents a significant scholarly and practical oversight. For policymakers and institutions like the former PPSDK, understanding what training models have proven effective, how they have adapted over time, and how they differ by region is essential for evidence-based program design and resource allocation. For the academic community, it leaves a void in understanding </w:t>
      </w:r>
      <w:r w:rsidRPr="00877768">
        <w:rPr>
          <w:spacing w:val="-2"/>
        </w:rPr>
        <w:lastRenderedPageBreak/>
        <w:t>how macro-level language policy (Law No. 24/2009) translates into meso-level institutional strategies and micro-level pedagogical practices across borders.</w:t>
      </w:r>
    </w:p>
    <w:p w14:paraId="1A054A99" w14:textId="77777777" w:rsidR="00877768" w:rsidRDefault="00877768" w:rsidP="00877768">
      <w:pPr>
        <w:pStyle w:val="Alishlah31text"/>
        <w:rPr>
          <w:spacing w:val="-2"/>
        </w:rPr>
      </w:pPr>
      <w:r w:rsidRPr="00877768">
        <w:rPr>
          <w:spacing w:val="-2"/>
        </w:rPr>
        <w:t>To address this critical gap, this study employs a Systematic Literature Review (SLR) methodology, guided by the PRISMA (Preferred Reporting Items for Systematic Reviews and Meta-Analyses) framework, to investigate the following research questions:</w:t>
      </w:r>
    </w:p>
    <w:p w14:paraId="580B9B1C" w14:textId="77777777" w:rsidR="00877768" w:rsidRPr="00877768" w:rsidRDefault="00877768" w:rsidP="00877768">
      <w:pPr>
        <w:pStyle w:val="ds-markdown-paragraph"/>
        <w:numPr>
          <w:ilvl w:val="0"/>
          <w:numId w:val="19"/>
        </w:numPr>
        <w:shd w:val="clear" w:color="auto" w:fill="FFFFFF"/>
        <w:tabs>
          <w:tab w:val="left" w:pos="90"/>
        </w:tabs>
        <w:spacing w:before="0" w:beforeAutospacing="0" w:after="0" w:afterAutospacing="0" w:line="276" w:lineRule="auto"/>
        <w:ind w:left="360"/>
        <w:jc w:val="both"/>
        <w:rPr>
          <w:color w:val="0F1115"/>
          <w:sz w:val="20"/>
          <w:szCs w:val="20"/>
        </w:rPr>
      </w:pPr>
      <w:r w:rsidRPr="00877768">
        <w:rPr>
          <w:color w:val="0F1115"/>
          <w:sz w:val="20"/>
          <w:szCs w:val="20"/>
        </w:rPr>
        <w:t>What are the predominant models and strategies for BIPA teacher and learner training that have been documented in the literature between 2009 and 2024?</w:t>
      </w:r>
    </w:p>
    <w:p w14:paraId="504A5E9B" w14:textId="77777777" w:rsidR="00877768" w:rsidRPr="00877768" w:rsidRDefault="00877768" w:rsidP="00877768">
      <w:pPr>
        <w:pStyle w:val="ds-markdown-paragraph"/>
        <w:numPr>
          <w:ilvl w:val="0"/>
          <w:numId w:val="19"/>
        </w:numPr>
        <w:shd w:val="clear" w:color="auto" w:fill="FFFFFF"/>
        <w:tabs>
          <w:tab w:val="left" w:pos="90"/>
        </w:tabs>
        <w:spacing w:before="0" w:beforeAutospacing="0" w:after="0" w:afterAutospacing="0" w:line="276" w:lineRule="auto"/>
        <w:ind w:left="360"/>
        <w:jc w:val="both"/>
        <w:rPr>
          <w:color w:val="0F1115"/>
          <w:sz w:val="20"/>
          <w:szCs w:val="20"/>
        </w:rPr>
      </w:pPr>
      <w:r w:rsidRPr="00877768">
        <w:rPr>
          <w:color w:val="0F1115"/>
          <w:sz w:val="20"/>
          <w:szCs w:val="20"/>
        </w:rPr>
        <w:t>How have these models and strategies developed differently in the contexts of Southeast Asia and the United States?</w:t>
      </w:r>
    </w:p>
    <w:p w14:paraId="501C4D8E" w14:textId="77777777" w:rsidR="00877768" w:rsidRPr="00877768" w:rsidRDefault="00877768" w:rsidP="00877768">
      <w:pPr>
        <w:pStyle w:val="ds-markdown-paragraph"/>
        <w:numPr>
          <w:ilvl w:val="0"/>
          <w:numId w:val="19"/>
        </w:numPr>
        <w:shd w:val="clear" w:color="auto" w:fill="FFFFFF"/>
        <w:tabs>
          <w:tab w:val="left" w:pos="90"/>
        </w:tabs>
        <w:spacing w:before="0" w:beforeAutospacing="0" w:after="0" w:afterAutospacing="0" w:line="276" w:lineRule="auto"/>
        <w:ind w:left="360"/>
        <w:jc w:val="both"/>
        <w:rPr>
          <w:color w:val="0F1115"/>
          <w:sz w:val="20"/>
          <w:szCs w:val="20"/>
        </w:rPr>
      </w:pPr>
      <w:r w:rsidRPr="00877768">
        <w:rPr>
          <w:color w:val="0F1115"/>
          <w:sz w:val="20"/>
          <w:szCs w:val="20"/>
        </w:rPr>
        <w:t>To what extent does the existing literature reflect the influence of national language policy (UU No. 24/2009) and institutional frameworks (e.g., PPSDK) on the development of BIPA training approaches?</w:t>
      </w:r>
    </w:p>
    <w:p w14:paraId="68D813FB" w14:textId="77777777" w:rsidR="00877768" w:rsidRDefault="00877768" w:rsidP="00877768">
      <w:pPr>
        <w:pStyle w:val="Alishlah31text"/>
        <w:rPr>
          <w:spacing w:val="-2"/>
        </w:rPr>
      </w:pPr>
    </w:p>
    <w:p w14:paraId="44836464" w14:textId="77777777" w:rsidR="00727D5A" w:rsidRPr="00877768" w:rsidRDefault="00877768" w:rsidP="00877768">
      <w:pPr>
        <w:pStyle w:val="Alishlah31text"/>
        <w:rPr>
          <w:spacing w:val="-2"/>
        </w:rPr>
      </w:pPr>
      <w:r w:rsidRPr="00877768">
        <w:rPr>
          <w:spacing w:val="-2"/>
        </w:rPr>
        <w:t>The temporal scope of this review, spanning from 2009 to 2024, is deliberately aligned with the post-enactment era of Law No. 24/2009. This period encapsulates the policy's initial implementation, subsequent institutional adaptations, and the potential long-term effects on BIPA's international trajectory. By charting the scholarly discourse across this 15-year window, this review aims to construct a cohesive narrative of BIPA's pedagogical evolution as a tool of cultural diplomacy. The findings are expected to provide a foundational evidence base for scholars in language policy, teacher education, and Indonesian studies, while offering actionable insights for stakeholders dedicated to advancing the Indonesian language globally.</w:t>
      </w:r>
    </w:p>
    <w:p w14:paraId="7FAF32DB" w14:textId="77777777" w:rsidR="005B5AEC" w:rsidRPr="00723B12" w:rsidRDefault="005B5AEC" w:rsidP="005B5AEC">
      <w:pPr>
        <w:pStyle w:val="Alishlah21heading1"/>
        <w:rPr>
          <w:rFonts w:eastAsia="Arial"/>
        </w:rPr>
      </w:pPr>
      <w:r w:rsidRPr="00723B12">
        <w:rPr>
          <w:rFonts w:eastAsia="Arial"/>
        </w:rPr>
        <w:t xml:space="preserve">METHODS </w:t>
      </w:r>
    </w:p>
    <w:p w14:paraId="7F3EF64A" w14:textId="77777777" w:rsidR="005B5AEC" w:rsidRDefault="00877768" w:rsidP="002B31FD">
      <w:pPr>
        <w:pStyle w:val="Alishlah31text"/>
        <w:rPr>
          <w:rFonts w:eastAsia="SimSun"/>
          <w:spacing w:val="-2"/>
          <w:lang w:val="en-ID" w:eastAsia="zh-CN"/>
        </w:rPr>
      </w:pPr>
      <w:r w:rsidRPr="00877768">
        <w:rPr>
          <w:rFonts w:eastAsia="SimSun"/>
          <w:spacing w:val="-2"/>
          <w:lang w:val="en-ID" w:eastAsia="zh-CN"/>
        </w:rPr>
        <w:t xml:space="preserve">This study was conducted as a systematic literature review (SLR) following the Preferred Reporting Items for Systematic Reviews and Meta-Analyses (PRISMA 2020) guidelines to ensure methodological rigor, transparency, and reproducibility (Page et al., 2021). The review was designed to systematically investigate the development of models and strategies for Indonesian Language for Foreign Speakers (BIPA) training within Southeast Asia and the United States from 2009 to 2024, a period demarcated by the catalytic enactment of Indonesia's national language policy, </w:t>
      </w:r>
      <w:proofErr w:type="spellStart"/>
      <w:r w:rsidRPr="00877768">
        <w:rPr>
          <w:rFonts w:eastAsia="SimSun"/>
          <w:spacing w:val="-2"/>
          <w:lang w:val="en-ID" w:eastAsia="zh-CN"/>
        </w:rPr>
        <w:t>Undang-Undang</w:t>
      </w:r>
      <w:proofErr w:type="spellEnd"/>
      <w:r w:rsidRPr="00877768">
        <w:rPr>
          <w:rFonts w:eastAsia="SimSun"/>
          <w:spacing w:val="-2"/>
          <w:lang w:val="en-ID" w:eastAsia="zh-CN"/>
        </w:rPr>
        <w:t xml:space="preserve"> </w:t>
      </w:r>
      <w:proofErr w:type="spellStart"/>
      <w:r w:rsidRPr="00877768">
        <w:rPr>
          <w:rFonts w:eastAsia="SimSun"/>
          <w:spacing w:val="-2"/>
          <w:lang w:val="en-ID" w:eastAsia="zh-CN"/>
        </w:rPr>
        <w:t>Nomor</w:t>
      </w:r>
      <w:proofErr w:type="spellEnd"/>
      <w:r w:rsidRPr="00877768">
        <w:rPr>
          <w:rFonts w:eastAsia="SimSun"/>
          <w:spacing w:val="-2"/>
          <w:lang w:val="en-ID" w:eastAsia="zh-CN"/>
        </w:rPr>
        <w:t xml:space="preserve"> 24 </w:t>
      </w:r>
      <w:proofErr w:type="spellStart"/>
      <w:r w:rsidRPr="00877768">
        <w:rPr>
          <w:rFonts w:eastAsia="SimSun"/>
          <w:spacing w:val="-2"/>
          <w:lang w:val="en-ID" w:eastAsia="zh-CN"/>
        </w:rPr>
        <w:t>Tahun</w:t>
      </w:r>
      <w:proofErr w:type="spellEnd"/>
      <w:r w:rsidRPr="00877768">
        <w:rPr>
          <w:rFonts w:eastAsia="SimSun"/>
          <w:spacing w:val="-2"/>
          <w:lang w:val="en-ID" w:eastAsia="zh-CN"/>
        </w:rPr>
        <w:t xml:space="preserve"> 2009.</w:t>
      </w:r>
    </w:p>
    <w:p w14:paraId="2D7B631B" w14:textId="77777777" w:rsidR="00877768" w:rsidRDefault="00C963A8" w:rsidP="00C963A8">
      <w:pPr>
        <w:pStyle w:val="Alishlah21heading1"/>
        <w:numPr>
          <w:ilvl w:val="0"/>
          <w:numId w:val="0"/>
        </w:numPr>
      </w:pPr>
      <w:r w:rsidRPr="00C963A8">
        <w:t>Systematic Search Strategy across Three Databases</w:t>
      </w:r>
    </w:p>
    <w:p w14:paraId="7195BDC6" w14:textId="77777777" w:rsidR="00C963A8" w:rsidRPr="00C963A8" w:rsidRDefault="00C963A8" w:rsidP="00C963A8">
      <w:pPr>
        <w:pStyle w:val="Alishlah31text"/>
        <w:rPr>
          <w:rFonts w:eastAsia="SimSun"/>
          <w:spacing w:val="-2"/>
          <w:lang w:val="en-ID" w:eastAsia="zh-CN"/>
        </w:rPr>
      </w:pPr>
      <w:r w:rsidRPr="00C963A8">
        <w:rPr>
          <w:rFonts w:eastAsia="SimSun"/>
          <w:spacing w:val="-2"/>
          <w:lang w:val="en-ID" w:eastAsia="zh-CN"/>
        </w:rPr>
        <w:t>A comprehensive, multi-stage search strategy was executed across three complementary electronic databases: Scopus, ERIC (Education Resources Information Center), and Google Scholar. This triangulated approach was deliberately designed to capture distinct dimensions of the scholarly landscape. Scopus provided access to high-impact, peer-reviewed international journals; ERIC offered specialized literature on educational methodology and teacher training; while Google Scholar ensured coverage of grey literature, regional publications, and Indonesian-language sources that might not be indexed in the former two databases (</w:t>
      </w:r>
      <w:proofErr w:type="spellStart"/>
      <w:r w:rsidRPr="00C963A8">
        <w:rPr>
          <w:rFonts w:eastAsia="SimSun"/>
          <w:spacing w:val="-2"/>
          <w:lang w:val="en-ID" w:eastAsia="zh-CN"/>
        </w:rPr>
        <w:t>Gusenbauer</w:t>
      </w:r>
      <w:proofErr w:type="spellEnd"/>
      <w:r w:rsidRPr="00C963A8">
        <w:rPr>
          <w:rFonts w:eastAsia="SimSun"/>
          <w:spacing w:val="-2"/>
          <w:lang w:val="en-ID" w:eastAsia="zh-CN"/>
        </w:rPr>
        <w:t xml:space="preserve"> &amp; </w:t>
      </w:r>
      <w:proofErr w:type="spellStart"/>
      <w:r w:rsidRPr="00C963A8">
        <w:rPr>
          <w:rFonts w:eastAsia="SimSun"/>
          <w:spacing w:val="-2"/>
          <w:lang w:val="en-ID" w:eastAsia="zh-CN"/>
        </w:rPr>
        <w:t>Haddaway</w:t>
      </w:r>
      <w:proofErr w:type="spellEnd"/>
      <w:r w:rsidRPr="00C963A8">
        <w:rPr>
          <w:rFonts w:eastAsia="SimSun"/>
          <w:spacing w:val="-2"/>
          <w:lang w:val="en-ID" w:eastAsia="zh-CN"/>
        </w:rPr>
        <w:t>, 2020). The searches were conducted on December 6, 2025, with each database requiring a tailored strategy due to differences in search syntax, indexing, and scope.</w:t>
      </w:r>
    </w:p>
    <w:p w14:paraId="189E5343" w14:textId="77777777" w:rsidR="00C963A8" w:rsidRPr="00C963A8" w:rsidRDefault="00C963A8" w:rsidP="00C963A8">
      <w:pPr>
        <w:pStyle w:val="Alishlah31text"/>
        <w:rPr>
          <w:rFonts w:eastAsia="SimSun"/>
          <w:spacing w:val="-2"/>
          <w:lang w:val="en-ID" w:eastAsia="zh-CN"/>
        </w:rPr>
      </w:pPr>
      <w:r w:rsidRPr="00C963A8">
        <w:rPr>
          <w:rFonts w:eastAsia="SimSun"/>
          <w:spacing w:val="-2"/>
          <w:lang w:val="en-ID" w:eastAsia="zh-CN"/>
        </w:rPr>
        <w:t>The search for Scopus, an abstract and citation database of peer-reviewed literature, employed a structured Boolean query within the "Article title, Abstract, Keywords" fields. The initial unrestricted search, TITLE-ABS-</w:t>
      </w:r>
      <w:proofErr w:type="gramStart"/>
      <w:r w:rsidRPr="00C963A8">
        <w:rPr>
          <w:rFonts w:eastAsia="SimSun"/>
          <w:spacing w:val="-2"/>
          <w:lang w:val="en-ID" w:eastAsia="zh-CN"/>
        </w:rPr>
        <w:t>KEY(</w:t>
      </w:r>
      <w:proofErr w:type="gramEnd"/>
      <w:r w:rsidRPr="00C963A8">
        <w:rPr>
          <w:rFonts w:eastAsia="SimSun"/>
          <w:spacing w:val="-2"/>
          <w:lang w:val="en-ID" w:eastAsia="zh-CN"/>
        </w:rPr>
        <w:t>( "</w:t>
      </w:r>
      <w:proofErr w:type="spellStart"/>
      <w:r w:rsidRPr="00C963A8">
        <w:rPr>
          <w:rFonts w:eastAsia="SimSun"/>
          <w:spacing w:val="-2"/>
          <w:lang w:val="en-ID" w:eastAsia="zh-CN"/>
        </w:rPr>
        <w:t>bipa</w:t>
      </w:r>
      <w:proofErr w:type="spellEnd"/>
      <w:r w:rsidRPr="00C963A8">
        <w:rPr>
          <w:rFonts w:eastAsia="SimSun"/>
          <w:spacing w:val="-2"/>
          <w:lang w:val="en-ID" w:eastAsia="zh-CN"/>
        </w:rPr>
        <w:t>" OR "</w:t>
      </w:r>
      <w:proofErr w:type="spellStart"/>
      <w:r w:rsidRPr="00C963A8">
        <w:rPr>
          <w:rFonts w:eastAsia="SimSun"/>
          <w:spacing w:val="-2"/>
          <w:lang w:val="en-ID" w:eastAsia="zh-CN"/>
        </w:rPr>
        <w:t>indonesian</w:t>
      </w:r>
      <w:proofErr w:type="spellEnd"/>
      <w:r w:rsidRPr="00C963A8">
        <w:rPr>
          <w:rFonts w:eastAsia="SimSun"/>
          <w:spacing w:val="-2"/>
          <w:lang w:val="en-ID" w:eastAsia="zh-CN"/>
        </w:rPr>
        <w:t xml:space="preserve"> for foreign" OR "</w:t>
      </w:r>
      <w:proofErr w:type="spellStart"/>
      <w:r w:rsidRPr="00C963A8">
        <w:rPr>
          <w:rFonts w:eastAsia="SimSun"/>
          <w:spacing w:val="-2"/>
          <w:lang w:val="en-ID" w:eastAsia="zh-CN"/>
        </w:rPr>
        <w:t>indonesian</w:t>
      </w:r>
      <w:proofErr w:type="spellEnd"/>
      <w:r w:rsidRPr="00C963A8">
        <w:rPr>
          <w:rFonts w:eastAsia="SimSun"/>
          <w:spacing w:val="-2"/>
          <w:lang w:val="en-ID" w:eastAsia="zh-CN"/>
        </w:rPr>
        <w:t xml:space="preserve"> language" ) AND ( "teaching" OR "learning" OR "training" OR "education" )), yielded 974 documents. A sequential filtering process was then applied. First, the publication year was limited to 2008-2024 to capture literature from the period surrounding the policy's enactment, reducing the results to 838 documents. The document type was then filtered to "Article" to prioritize original research, resulting in 447 items. To </w:t>
      </w:r>
      <w:proofErr w:type="gramStart"/>
      <w:r w:rsidRPr="00C963A8">
        <w:rPr>
          <w:rFonts w:eastAsia="SimSun"/>
          <w:spacing w:val="-2"/>
          <w:lang w:val="en-ID" w:eastAsia="zh-CN"/>
        </w:rPr>
        <w:t>align  with</w:t>
      </w:r>
      <w:proofErr w:type="gramEnd"/>
      <w:r w:rsidRPr="00C963A8">
        <w:rPr>
          <w:rFonts w:eastAsia="SimSun"/>
          <w:spacing w:val="-2"/>
          <w:lang w:val="en-ID" w:eastAsia="zh-CN"/>
        </w:rPr>
        <w:t xml:space="preserve"> the geographic focus of this review, the results were filtered by the "Country" affiliation field to include only Indonesia, Malaysia, United States, Thailand, Vietnam, Philippines, Singapore, and Brunei Darussalam, yielding 425 documents. A language filter (English) was applied, resulting in 420 documents, followed by an "Open Access" filter to ensure full-text availability, which produced 299 documents. A manual screening of the titles and abstracts of these 299 documents against the inclusion criteria (Table 1) was conducted, leading to the identification </w:t>
      </w:r>
      <w:r w:rsidRPr="00C963A8">
        <w:rPr>
          <w:rFonts w:eastAsia="SimSun"/>
          <w:spacing w:val="-2"/>
          <w:lang w:val="en-ID" w:eastAsia="zh-CN"/>
        </w:rPr>
        <w:lastRenderedPageBreak/>
        <w:t>of 38 potentially relevant papers. A full-text assessment of these 38 papers resulted in the final inclusion of 4 studies that met all eligibility criteria. This multi-layered filtering in Scopus reflects the database's strength in providing granular, field-coded search options for precise retrieval.</w:t>
      </w:r>
    </w:p>
    <w:p w14:paraId="0CECEE69" w14:textId="77777777" w:rsidR="00C963A8" w:rsidRPr="00C963A8" w:rsidRDefault="00C963A8" w:rsidP="00C963A8">
      <w:pPr>
        <w:pStyle w:val="Alishlah31text"/>
        <w:rPr>
          <w:rFonts w:eastAsia="SimSun"/>
          <w:spacing w:val="-2"/>
          <w:lang w:val="en-ID" w:eastAsia="zh-CN"/>
        </w:rPr>
      </w:pPr>
      <w:r w:rsidRPr="00C963A8">
        <w:rPr>
          <w:rFonts w:eastAsia="SimSun"/>
          <w:spacing w:val="-2"/>
          <w:lang w:val="en-ID" w:eastAsia="zh-CN"/>
        </w:rPr>
        <w:t>The search strategy for ERIC, the premier bibliographic database for education research sponsored by the U.S. Department of Education, required different terminology. Recognizing that the term "BIPA" is rarely used in international educational indexing, the search was broadened to capture relevant conceptual contexts. The query ("Indonesian language" OR "Asian languages" OR "less commonly taught languages") AND ("teacher education" OR "teacher training" OR "professional development") AND ("second language instruction" OR "foreign language teaching") was executed, returning 48 documents. The publication date was limited to 2007 onward to include foundational literature, resulting in 29 documents. The "Peer Reviewed Only" filter was applied, leaving 27 documents. Crucially, the "Full Text Available on ERIC" filter was used, as ERIC includes many catalog entries without attached full text, which narrowed the pool to 7 documents. A manual title and abstract screening of these 7 documents identified 4 for full-text retrieval. All 4 were available in full and met the inclusion criteria upon detailed assessment. This process underscores ERIC's value for capturing education-specific frameworks, such as teacher professional development and the context of Less Commonly Taught Languages (LCTLs), which directly inform the analysis of BIPA training models.</w:t>
      </w:r>
    </w:p>
    <w:p w14:paraId="7882E70A" w14:textId="77777777" w:rsidR="00C963A8" w:rsidRPr="00C963A8" w:rsidRDefault="00C963A8" w:rsidP="00C963A8">
      <w:pPr>
        <w:pStyle w:val="Alishlah31text"/>
        <w:rPr>
          <w:rFonts w:eastAsia="SimSun"/>
          <w:spacing w:val="-2"/>
          <w:lang w:val="en-ID" w:eastAsia="zh-CN"/>
        </w:rPr>
      </w:pPr>
      <w:r w:rsidRPr="00C963A8">
        <w:rPr>
          <w:rFonts w:eastAsia="SimSun"/>
          <w:spacing w:val="-2"/>
          <w:lang w:val="en-ID" w:eastAsia="zh-CN"/>
        </w:rPr>
        <w:t>A parallel but distinct approach was necessary for Google Scholar, due to its expansive, non-curated index of scholarly and grey literature. The search "Indonesian for foreign speakers" OR BIPA AND training AND (Southeast Asia OR United States) was used, generating approximately 2,120 results. The built-in date range filter was set to 2009-2024, refining the results to an estimated 1,440 items. Given Google Scholar's inclusion of theses, books, and non-scholarly material, a manual scan for "</w:t>
      </w:r>
      <w:proofErr w:type="spellStart"/>
      <w:r w:rsidRPr="00C963A8">
        <w:rPr>
          <w:rFonts w:eastAsia="SimSun"/>
          <w:spacing w:val="-2"/>
          <w:lang w:val="en-ID" w:eastAsia="zh-CN"/>
        </w:rPr>
        <w:t>artikel</w:t>
      </w:r>
      <w:proofErr w:type="spellEnd"/>
      <w:r w:rsidRPr="00C963A8">
        <w:rPr>
          <w:rFonts w:eastAsia="SimSun"/>
          <w:spacing w:val="-2"/>
          <w:lang w:val="en-ID" w:eastAsia="zh-CN"/>
        </w:rPr>
        <w:t xml:space="preserve"> </w:t>
      </w:r>
      <w:proofErr w:type="spellStart"/>
      <w:r w:rsidRPr="00C963A8">
        <w:rPr>
          <w:rFonts w:eastAsia="SimSun"/>
          <w:spacing w:val="-2"/>
          <w:lang w:val="en-ID" w:eastAsia="zh-CN"/>
        </w:rPr>
        <w:t>kajian</w:t>
      </w:r>
      <w:proofErr w:type="spellEnd"/>
      <w:r w:rsidRPr="00C963A8">
        <w:rPr>
          <w:rFonts w:eastAsia="SimSun"/>
          <w:spacing w:val="-2"/>
          <w:lang w:val="en-ID" w:eastAsia="zh-CN"/>
        </w:rPr>
        <w:t>" (research articles) was performed by looking for keywords like "</w:t>
      </w:r>
      <w:proofErr w:type="spellStart"/>
      <w:r w:rsidRPr="00C963A8">
        <w:rPr>
          <w:rFonts w:eastAsia="SimSun"/>
          <w:spacing w:val="-2"/>
          <w:lang w:val="en-ID" w:eastAsia="zh-CN"/>
        </w:rPr>
        <w:t>jurnal</w:t>
      </w:r>
      <w:proofErr w:type="spellEnd"/>
      <w:r w:rsidRPr="00C963A8">
        <w:rPr>
          <w:rFonts w:eastAsia="SimSun"/>
          <w:spacing w:val="-2"/>
          <w:lang w:val="en-ID" w:eastAsia="zh-CN"/>
        </w:rPr>
        <w:t>," "journal," and "</w:t>
      </w:r>
      <w:proofErr w:type="spellStart"/>
      <w:r w:rsidRPr="00C963A8">
        <w:rPr>
          <w:rFonts w:eastAsia="SimSun"/>
          <w:spacing w:val="-2"/>
          <w:lang w:val="en-ID" w:eastAsia="zh-CN"/>
        </w:rPr>
        <w:t>artikel</w:t>
      </w:r>
      <w:proofErr w:type="spellEnd"/>
      <w:r w:rsidRPr="00C963A8">
        <w:rPr>
          <w:rFonts w:eastAsia="SimSun"/>
          <w:spacing w:val="-2"/>
          <w:lang w:val="en-ID" w:eastAsia="zh-CN"/>
        </w:rPr>
        <w:t>" in titles, identifying approximately 64 candidate articles. The titles and abstracts of these 64 articles were screened, resulting in 23 articles deemed relevant for full-text assessment. After exhaustive efforts to retrieve and review the full texts of these 23 articles (utilizing institutional access, direct PDF links, and repository searches), 7 articles satisfied all inclusion criteria and were included in the review. This process highlights Google Scholar's critical role in accessing Indonesian-language scholarship and regional conference proceedings essential for a complete understanding of the BIPA landscape.</w:t>
      </w:r>
    </w:p>
    <w:p w14:paraId="50E673FA" w14:textId="77777777" w:rsidR="00C963A8" w:rsidRPr="00C963A8" w:rsidRDefault="00C963A8" w:rsidP="00C963A8">
      <w:pPr>
        <w:pStyle w:val="Alishlah31text"/>
        <w:rPr>
          <w:rFonts w:eastAsia="SimSun"/>
          <w:spacing w:val="-2"/>
          <w:lang w:val="en-ID" w:eastAsia="zh-CN"/>
        </w:rPr>
      </w:pPr>
      <w:r w:rsidRPr="00C963A8">
        <w:rPr>
          <w:rFonts w:eastAsia="SimSun"/>
          <w:spacing w:val="-2"/>
          <w:lang w:val="en-ID" w:eastAsia="zh-CN"/>
        </w:rPr>
        <w:t>The entire study selection workflow, from initial identification to final inclusion, is depicted in the PRISMA 2020 flow diagram (Figure 1). No duplicates were found across the final selected studies from the three databases.</w:t>
      </w:r>
    </w:p>
    <w:p w14:paraId="33FC15B6" w14:textId="77777777" w:rsidR="00C963A8" w:rsidRDefault="00CC7DCF" w:rsidP="00CC7DCF">
      <w:pPr>
        <w:pStyle w:val="Alishlah21heading1"/>
        <w:numPr>
          <w:ilvl w:val="0"/>
          <w:numId w:val="0"/>
        </w:numPr>
        <w:jc w:val="center"/>
      </w:pPr>
      <w:r w:rsidRPr="00CC7DCF">
        <w:t>Table 1</w:t>
      </w:r>
      <w:r w:rsidR="00FF7629">
        <w:t>.</w:t>
      </w:r>
      <w:r w:rsidRPr="00CC7DCF">
        <w:t xml:space="preserve"> </w:t>
      </w:r>
      <w:r w:rsidRPr="00FF7629">
        <w:rPr>
          <w:b w:val="0"/>
          <w:bCs/>
        </w:rPr>
        <w:t>Study Eligibility Criteria (PICOS Framework)</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2120"/>
        <w:gridCol w:w="3860"/>
        <w:gridCol w:w="3212"/>
      </w:tblGrid>
      <w:tr w:rsidR="00CC7DCF" w:rsidRPr="00BE14C8" w14:paraId="73F2BF13" w14:textId="77777777" w:rsidTr="00CC7DCF">
        <w:trPr>
          <w:jc w:val="center"/>
        </w:trPr>
        <w:tc>
          <w:tcPr>
            <w:tcW w:w="1047" w:type="pct"/>
            <w:hideMark/>
          </w:tcPr>
          <w:p w14:paraId="68D9C36D"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b/>
                <w:bCs/>
              </w:rPr>
              <w:t>Category</w:t>
            </w:r>
          </w:p>
        </w:tc>
        <w:tc>
          <w:tcPr>
            <w:tcW w:w="2153" w:type="pct"/>
            <w:hideMark/>
          </w:tcPr>
          <w:p w14:paraId="052B2469"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b/>
                <w:bCs/>
              </w:rPr>
              <w:t>Inclusion Criteria</w:t>
            </w:r>
          </w:p>
        </w:tc>
        <w:tc>
          <w:tcPr>
            <w:tcW w:w="1800" w:type="pct"/>
            <w:hideMark/>
          </w:tcPr>
          <w:p w14:paraId="632094A1"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b/>
                <w:bCs/>
              </w:rPr>
              <w:t>Exclusion Criteria</w:t>
            </w:r>
          </w:p>
        </w:tc>
      </w:tr>
      <w:tr w:rsidR="00CC7DCF" w:rsidRPr="00BE14C8" w14:paraId="0ADDE6F8" w14:textId="77777777" w:rsidTr="00CC7DCF">
        <w:trPr>
          <w:jc w:val="center"/>
        </w:trPr>
        <w:tc>
          <w:tcPr>
            <w:tcW w:w="1047" w:type="pct"/>
            <w:hideMark/>
          </w:tcPr>
          <w:p w14:paraId="42992CE5"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b/>
                <w:bCs/>
              </w:rPr>
              <w:t>Population/Problem</w:t>
            </w:r>
          </w:p>
        </w:tc>
        <w:tc>
          <w:tcPr>
            <w:tcW w:w="2153" w:type="pct"/>
            <w:hideMark/>
          </w:tcPr>
          <w:p w14:paraId="095C23BD"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 xml:space="preserve">Programs, curricula, educators, or studies related to the teaching/training of Bahasa Indonesia </w:t>
            </w:r>
            <w:proofErr w:type="spellStart"/>
            <w:r w:rsidRPr="00BE14C8">
              <w:rPr>
                <w:rFonts w:ascii="Palatino Linotype" w:eastAsia="Times New Roman" w:hAnsi="Palatino Linotype" w:cs="Times New Roman"/>
              </w:rPr>
              <w:t>bagi</w:t>
            </w:r>
            <w:proofErr w:type="spellEnd"/>
            <w:r w:rsidRPr="00BE14C8">
              <w:rPr>
                <w:rFonts w:ascii="Palatino Linotype" w:eastAsia="Times New Roman" w:hAnsi="Palatino Linotype" w:cs="Times New Roman"/>
              </w:rPr>
              <w:t xml:space="preserve"> </w:t>
            </w:r>
            <w:proofErr w:type="spellStart"/>
            <w:r w:rsidRPr="00BE14C8">
              <w:rPr>
                <w:rFonts w:ascii="Palatino Linotype" w:eastAsia="Times New Roman" w:hAnsi="Palatino Linotype" w:cs="Times New Roman"/>
              </w:rPr>
              <w:t>Penutur</w:t>
            </w:r>
            <w:proofErr w:type="spellEnd"/>
            <w:r w:rsidRPr="00BE14C8">
              <w:rPr>
                <w:rFonts w:ascii="Palatino Linotype" w:eastAsia="Times New Roman" w:hAnsi="Palatino Linotype" w:cs="Times New Roman"/>
              </w:rPr>
              <w:t xml:space="preserve"> </w:t>
            </w:r>
            <w:proofErr w:type="spellStart"/>
            <w:r w:rsidRPr="00BE14C8">
              <w:rPr>
                <w:rFonts w:ascii="Palatino Linotype" w:eastAsia="Times New Roman" w:hAnsi="Palatino Linotype" w:cs="Times New Roman"/>
              </w:rPr>
              <w:t>Asing</w:t>
            </w:r>
            <w:proofErr w:type="spellEnd"/>
            <w:r w:rsidRPr="00BE14C8">
              <w:rPr>
                <w:rFonts w:ascii="Palatino Linotype" w:eastAsia="Times New Roman" w:hAnsi="Palatino Linotype" w:cs="Times New Roman"/>
              </w:rPr>
              <w:t xml:space="preserve"> (BIPA).</w:t>
            </w:r>
          </w:p>
        </w:tc>
        <w:tc>
          <w:tcPr>
            <w:tcW w:w="1800" w:type="pct"/>
            <w:hideMark/>
          </w:tcPr>
          <w:p w14:paraId="2ED3B545"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Studies on general Indonesian language teaching for native speakers or other languages.</w:t>
            </w:r>
          </w:p>
        </w:tc>
      </w:tr>
      <w:tr w:rsidR="00CC7DCF" w:rsidRPr="00BE14C8" w14:paraId="75233119" w14:textId="77777777" w:rsidTr="00CC7DCF">
        <w:trPr>
          <w:jc w:val="center"/>
        </w:trPr>
        <w:tc>
          <w:tcPr>
            <w:tcW w:w="1047" w:type="pct"/>
            <w:hideMark/>
          </w:tcPr>
          <w:p w14:paraId="7DF275D5"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b/>
                <w:bCs/>
              </w:rPr>
              <w:t>Intervention/Interest</w:t>
            </w:r>
          </w:p>
        </w:tc>
        <w:tc>
          <w:tcPr>
            <w:tcW w:w="2153" w:type="pct"/>
            <w:hideMark/>
          </w:tcPr>
          <w:p w14:paraId="599F5FFE"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Models, strategies, methodologies, or approaches for BIPA teacher training or pedagogical instruction.</w:t>
            </w:r>
          </w:p>
        </w:tc>
        <w:tc>
          <w:tcPr>
            <w:tcW w:w="1800" w:type="pct"/>
            <w:hideMark/>
          </w:tcPr>
          <w:p w14:paraId="5232779A"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Studies focused solely on linguistic analysis, assessment, or technology without pedagogical strategy.</w:t>
            </w:r>
          </w:p>
        </w:tc>
      </w:tr>
      <w:tr w:rsidR="00CC7DCF" w:rsidRPr="00BE14C8" w14:paraId="0B1545A6" w14:textId="77777777" w:rsidTr="00CC7DCF">
        <w:trPr>
          <w:jc w:val="center"/>
        </w:trPr>
        <w:tc>
          <w:tcPr>
            <w:tcW w:w="1047" w:type="pct"/>
            <w:hideMark/>
          </w:tcPr>
          <w:p w14:paraId="621F8A56"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b/>
                <w:bCs/>
              </w:rPr>
              <w:t>Context</w:t>
            </w:r>
          </w:p>
        </w:tc>
        <w:tc>
          <w:tcPr>
            <w:tcW w:w="2153" w:type="pct"/>
            <w:hideMark/>
          </w:tcPr>
          <w:p w14:paraId="6F0AE1A0"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Implemented or researched in Southeast Asian nations or the United States.</w:t>
            </w:r>
          </w:p>
        </w:tc>
        <w:tc>
          <w:tcPr>
            <w:tcW w:w="1800" w:type="pct"/>
            <w:hideMark/>
          </w:tcPr>
          <w:p w14:paraId="0F7EB5E8"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Studies conducted in Europe, Australia (unless comparative), or other regions.</w:t>
            </w:r>
          </w:p>
        </w:tc>
      </w:tr>
      <w:tr w:rsidR="00CC7DCF" w:rsidRPr="00BE14C8" w14:paraId="53CE668C" w14:textId="77777777" w:rsidTr="00CC7DCF">
        <w:trPr>
          <w:jc w:val="center"/>
        </w:trPr>
        <w:tc>
          <w:tcPr>
            <w:tcW w:w="1047" w:type="pct"/>
            <w:hideMark/>
          </w:tcPr>
          <w:p w14:paraId="4A1DA5E7"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b/>
                <w:bCs/>
              </w:rPr>
              <w:lastRenderedPageBreak/>
              <w:t>Outcomes</w:t>
            </w:r>
          </w:p>
        </w:tc>
        <w:tc>
          <w:tcPr>
            <w:tcW w:w="2153" w:type="pct"/>
            <w:hideMark/>
          </w:tcPr>
          <w:p w14:paraId="6E727C63"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Descriptions, analyses, or evaluations of BIPA training/teaching model development or effectiveness.</w:t>
            </w:r>
          </w:p>
        </w:tc>
        <w:tc>
          <w:tcPr>
            <w:tcW w:w="1800" w:type="pct"/>
            <w:hideMark/>
          </w:tcPr>
          <w:p w14:paraId="391ACA44"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Opinion pieces, policy briefs without analysis, or promotional material.</w:t>
            </w:r>
          </w:p>
        </w:tc>
      </w:tr>
      <w:tr w:rsidR="00CC7DCF" w:rsidRPr="00BE14C8" w14:paraId="66238BA8" w14:textId="77777777" w:rsidTr="00CC7DCF">
        <w:trPr>
          <w:jc w:val="center"/>
        </w:trPr>
        <w:tc>
          <w:tcPr>
            <w:tcW w:w="1047" w:type="pct"/>
            <w:hideMark/>
          </w:tcPr>
          <w:p w14:paraId="3040EC84"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b/>
                <w:bCs/>
              </w:rPr>
              <w:t>Study Design</w:t>
            </w:r>
          </w:p>
        </w:tc>
        <w:tc>
          <w:tcPr>
            <w:tcW w:w="2153" w:type="pct"/>
            <w:hideMark/>
          </w:tcPr>
          <w:p w14:paraId="45BE4DC2"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Peer-reviewed articles, empirical research, conference proceedings, theses, dissertations, systematic reviews.</w:t>
            </w:r>
          </w:p>
        </w:tc>
        <w:tc>
          <w:tcPr>
            <w:tcW w:w="1800" w:type="pct"/>
            <w:hideMark/>
          </w:tcPr>
          <w:p w14:paraId="30B9E218"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Editorials, book reviews, news articles, blogs.</w:t>
            </w:r>
          </w:p>
        </w:tc>
      </w:tr>
      <w:tr w:rsidR="00CC7DCF" w:rsidRPr="00BE14C8" w14:paraId="42C05FE3" w14:textId="77777777" w:rsidTr="00CC7DCF">
        <w:trPr>
          <w:jc w:val="center"/>
        </w:trPr>
        <w:tc>
          <w:tcPr>
            <w:tcW w:w="1047" w:type="pct"/>
            <w:hideMark/>
          </w:tcPr>
          <w:p w14:paraId="7CB19D2B"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b/>
                <w:bCs/>
              </w:rPr>
              <w:t>Time Frame</w:t>
            </w:r>
          </w:p>
        </w:tc>
        <w:tc>
          <w:tcPr>
            <w:tcW w:w="2153" w:type="pct"/>
            <w:hideMark/>
          </w:tcPr>
          <w:p w14:paraId="44E78577"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Published between January 1, 2009, and December 31, 2024.</w:t>
            </w:r>
          </w:p>
        </w:tc>
        <w:tc>
          <w:tcPr>
            <w:tcW w:w="1800" w:type="pct"/>
            <w:hideMark/>
          </w:tcPr>
          <w:p w14:paraId="00F7F00A"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Published before 2009 or after 2024.</w:t>
            </w:r>
          </w:p>
        </w:tc>
      </w:tr>
      <w:tr w:rsidR="00CC7DCF" w:rsidRPr="00BE14C8" w14:paraId="63D698F6" w14:textId="77777777" w:rsidTr="00CC7DCF">
        <w:trPr>
          <w:jc w:val="center"/>
        </w:trPr>
        <w:tc>
          <w:tcPr>
            <w:tcW w:w="1047" w:type="pct"/>
            <w:hideMark/>
          </w:tcPr>
          <w:p w14:paraId="692B6067"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b/>
                <w:bCs/>
              </w:rPr>
              <w:t>Language</w:t>
            </w:r>
          </w:p>
        </w:tc>
        <w:tc>
          <w:tcPr>
            <w:tcW w:w="2153" w:type="pct"/>
            <w:hideMark/>
          </w:tcPr>
          <w:p w14:paraId="401E4C06"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English or Indonesian.</w:t>
            </w:r>
          </w:p>
        </w:tc>
        <w:tc>
          <w:tcPr>
            <w:tcW w:w="1800" w:type="pct"/>
            <w:hideMark/>
          </w:tcPr>
          <w:p w14:paraId="65575EA4" w14:textId="77777777" w:rsidR="00CC7DCF" w:rsidRPr="00BE14C8" w:rsidRDefault="00CC7DCF" w:rsidP="00A2418C">
            <w:pPr>
              <w:spacing w:line="276" w:lineRule="auto"/>
              <w:jc w:val="both"/>
              <w:rPr>
                <w:rFonts w:ascii="Palatino Linotype" w:eastAsia="Times New Roman" w:hAnsi="Palatino Linotype" w:cs="Times New Roman"/>
              </w:rPr>
            </w:pPr>
            <w:r w:rsidRPr="00BE14C8">
              <w:rPr>
                <w:rFonts w:ascii="Palatino Linotype" w:eastAsia="Times New Roman" w:hAnsi="Palatino Linotype" w:cs="Times New Roman"/>
              </w:rPr>
              <w:t>Other languages.</w:t>
            </w:r>
          </w:p>
        </w:tc>
      </w:tr>
    </w:tbl>
    <w:p w14:paraId="3AB6F7F9" w14:textId="77777777" w:rsidR="00FF7629" w:rsidRDefault="00FF7629" w:rsidP="00CC7DCF">
      <w:pPr>
        <w:pStyle w:val="Alishlah21heading1"/>
        <w:numPr>
          <w:ilvl w:val="0"/>
          <w:numId w:val="0"/>
        </w:numPr>
      </w:pPr>
      <w:r w:rsidRPr="00FF7629">
        <w:rPr>
          <w:rFonts w:ascii="Times New Roman" w:hAnsi="Times New Roman"/>
          <w:b w:val="0"/>
          <w:noProof/>
          <w:snapToGrid/>
          <w:color w:val="0F1115"/>
          <w:sz w:val="24"/>
          <w:szCs w:val="24"/>
          <w:lang w:eastAsia="en-US" w:bidi="ar-SA"/>
        </w:rPr>
        <w:drawing>
          <wp:anchor distT="0" distB="0" distL="114300" distR="114300" simplePos="0" relativeHeight="251658240" behindDoc="0" locked="0" layoutInCell="1" allowOverlap="1" wp14:anchorId="5D201B7A" wp14:editId="33CAFEA6">
            <wp:simplePos x="0" y="0"/>
            <wp:positionH relativeFrom="margin">
              <wp:posOffset>-2540</wp:posOffset>
            </wp:positionH>
            <wp:positionV relativeFrom="paragraph">
              <wp:posOffset>347183</wp:posOffset>
            </wp:positionV>
            <wp:extent cx="5731510" cy="3967765"/>
            <wp:effectExtent l="0" t="0" r="2540" b="0"/>
            <wp:wrapNone/>
            <wp:docPr id="5" name="Picture 5" descr="C:\Users\hp\Downloads\Proyek Kerja\Proyek 195 SLR new\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Proyek Kerja\Proyek 195 SLR new\Presentation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967765"/>
                    </a:xfrm>
                    <a:prstGeom prst="rect">
                      <a:avLst/>
                    </a:prstGeom>
                    <a:noFill/>
                    <a:ln>
                      <a:noFill/>
                    </a:ln>
                  </pic:spPr>
                </pic:pic>
              </a:graphicData>
            </a:graphic>
          </wp:anchor>
        </w:drawing>
      </w:r>
    </w:p>
    <w:p w14:paraId="1853E6CC" w14:textId="77777777" w:rsidR="00FF7629" w:rsidRDefault="00FF7629" w:rsidP="00CC7DCF">
      <w:pPr>
        <w:pStyle w:val="Alishlah21heading1"/>
        <w:numPr>
          <w:ilvl w:val="0"/>
          <w:numId w:val="0"/>
        </w:numPr>
      </w:pPr>
    </w:p>
    <w:p w14:paraId="65C9E3B1" w14:textId="77777777" w:rsidR="00FF7629" w:rsidRDefault="00FF7629" w:rsidP="00FF7629">
      <w:pPr>
        <w:pStyle w:val="Alishlah21heading1"/>
        <w:numPr>
          <w:ilvl w:val="0"/>
          <w:numId w:val="0"/>
        </w:numPr>
        <w:jc w:val="center"/>
      </w:pPr>
    </w:p>
    <w:p w14:paraId="0D30F75D" w14:textId="77777777" w:rsidR="00FF7629" w:rsidRDefault="00FF7629" w:rsidP="00FF7629">
      <w:pPr>
        <w:pStyle w:val="Alishlah21heading1"/>
        <w:numPr>
          <w:ilvl w:val="0"/>
          <w:numId w:val="0"/>
        </w:numPr>
        <w:jc w:val="center"/>
      </w:pPr>
    </w:p>
    <w:p w14:paraId="2A8E5A24" w14:textId="77777777" w:rsidR="00FF7629" w:rsidRDefault="00FF7629" w:rsidP="00FF7629">
      <w:pPr>
        <w:pStyle w:val="Alishlah21heading1"/>
        <w:numPr>
          <w:ilvl w:val="0"/>
          <w:numId w:val="0"/>
        </w:numPr>
        <w:jc w:val="center"/>
      </w:pPr>
    </w:p>
    <w:p w14:paraId="3224E920" w14:textId="77777777" w:rsidR="00FF7629" w:rsidRDefault="00FF7629" w:rsidP="00FF7629">
      <w:pPr>
        <w:pStyle w:val="Alishlah21heading1"/>
        <w:numPr>
          <w:ilvl w:val="0"/>
          <w:numId w:val="0"/>
        </w:numPr>
        <w:jc w:val="center"/>
      </w:pPr>
    </w:p>
    <w:p w14:paraId="4D10467E" w14:textId="77777777" w:rsidR="00FF7629" w:rsidRDefault="00FF7629" w:rsidP="00FF7629">
      <w:pPr>
        <w:pStyle w:val="Alishlah21heading1"/>
        <w:numPr>
          <w:ilvl w:val="0"/>
          <w:numId w:val="0"/>
        </w:numPr>
        <w:jc w:val="center"/>
      </w:pPr>
    </w:p>
    <w:p w14:paraId="046D2FC3" w14:textId="77777777" w:rsidR="00FF7629" w:rsidRDefault="00FF7629" w:rsidP="00FF7629">
      <w:pPr>
        <w:pStyle w:val="Alishlah21heading1"/>
        <w:numPr>
          <w:ilvl w:val="0"/>
          <w:numId w:val="0"/>
        </w:numPr>
        <w:jc w:val="center"/>
      </w:pPr>
    </w:p>
    <w:p w14:paraId="6BCDF31A" w14:textId="77777777" w:rsidR="00FF7629" w:rsidRDefault="00FF7629" w:rsidP="00FF7629">
      <w:pPr>
        <w:pStyle w:val="Alishlah21heading1"/>
        <w:numPr>
          <w:ilvl w:val="0"/>
          <w:numId w:val="0"/>
        </w:numPr>
        <w:jc w:val="center"/>
      </w:pPr>
    </w:p>
    <w:p w14:paraId="56F40D2D" w14:textId="77777777" w:rsidR="00FF7629" w:rsidRDefault="00FF7629" w:rsidP="00FF7629">
      <w:pPr>
        <w:pStyle w:val="Alishlah21heading1"/>
        <w:numPr>
          <w:ilvl w:val="0"/>
          <w:numId w:val="0"/>
        </w:numPr>
        <w:jc w:val="center"/>
      </w:pPr>
    </w:p>
    <w:p w14:paraId="6BAA645E" w14:textId="77777777" w:rsidR="00FF7629" w:rsidRDefault="00FF7629" w:rsidP="00FF7629">
      <w:pPr>
        <w:pStyle w:val="Alishlah21heading1"/>
        <w:numPr>
          <w:ilvl w:val="0"/>
          <w:numId w:val="0"/>
        </w:numPr>
        <w:jc w:val="center"/>
      </w:pPr>
    </w:p>
    <w:p w14:paraId="02D94F02" w14:textId="77777777" w:rsidR="00FF7629" w:rsidRDefault="00FF7629" w:rsidP="00FF7629">
      <w:pPr>
        <w:pStyle w:val="Alishlah21heading1"/>
        <w:numPr>
          <w:ilvl w:val="0"/>
          <w:numId w:val="0"/>
        </w:numPr>
        <w:jc w:val="center"/>
      </w:pPr>
    </w:p>
    <w:p w14:paraId="65B89FB8" w14:textId="77777777" w:rsidR="00FF7629" w:rsidRDefault="00FF7629" w:rsidP="00FF7629">
      <w:pPr>
        <w:pStyle w:val="Alishlah21heading1"/>
        <w:numPr>
          <w:ilvl w:val="0"/>
          <w:numId w:val="0"/>
        </w:numPr>
      </w:pPr>
    </w:p>
    <w:p w14:paraId="76D44530" w14:textId="77777777" w:rsidR="00CC7DCF" w:rsidRDefault="00FF7629" w:rsidP="00FF7629">
      <w:pPr>
        <w:pStyle w:val="Alishlah21heading1"/>
        <w:numPr>
          <w:ilvl w:val="0"/>
          <w:numId w:val="0"/>
        </w:numPr>
        <w:jc w:val="center"/>
      </w:pPr>
      <w:r w:rsidRPr="00FF7629">
        <w:t>Figure 1</w:t>
      </w:r>
      <w:r>
        <w:t>.</w:t>
      </w:r>
      <w:r w:rsidRPr="00FF7629">
        <w:t xml:space="preserve"> </w:t>
      </w:r>
      <w:r w:rsidRPr="00FF7629">
        <w:rPr>
          <w:b w:val="0"/>
          <w:bCs/>
        </w:rPr>
        <w:t>PRISMA 2020 Flow Diagram of the Systematic Search and Selection Process</w:t>
      </w:r>
    </w:p>
    <w:p w14:paraId="486F3022" w14:textId="77777777" w:rsidR="00C963A8" w:rsidRDefault="00FF7629" w:rsidP="00C963A8">
      <w:pPr>
        <w:pStyle w:val="Alishlah21heading1"/>
        <w:numPr>
          <w:ilvl w:val="0"/>
          <w:numId w:val="0"/>
        </w:numPr>
      </w:pPr>
      <w:r w:rsidRPr="00FF7629">
        <w:t>Data Extraction and Management</w:t>
      </w:r>
    </w:p>
    <w:p w14:paraId="6C965F31" w14:textId="77777777" w:rsidR="00C963A8" w:rsidRDefault="00FF7629" w:rsidP="00FF7629">
      <w:pPr>
        <w:pStyle w:val="Alishlah31text"/>
        <w:rPr>
          <w:rFonts w:eastAsia="SimSun"/>
          <w:spacing w:val="-2"/>
          <w:lang w:val="en-ID" w:eastAsia="zh-CN"/>
        </w:rPr>
      </w:pPr>
      <w:r w:rsidRPr="00FF7629">
        <w:rPr>
          <w:rFonts w:eastAsia="SimSun"/>
          <w:spacing w:val="-2"/>
          <w:lang w:val="en-ID" w:eastAsia="zh-CN"/>
        </w:rPr>
        <w:t>Following the final selection, a standardized data extraction protocol was implemented. A pre-designed form in Microsoft Excel was used to systematically capture data from each of the 15 included studies. The extracted data included bibliographic information (authors, year, title, source); methodological characteristics (research design, context, participants); detailed descriptions of the BIPA training interventions or models under study; key findings related to model development, implementation, or effectiveness; and any explicit or implicit connections to broader language policy (UU No. 24/2009) or institutional frameworks like the PPSDK. This structured extraction facilitated consistent analysis and comparison across the heterogeneous studies.</w:t>
      </w:r>
    </w:p>
    <w:p w14:paraId="5FCEC8A5" w14:textId="77777777" w:rsidR="00BE14C8" w:rsidRDefault="00BE14C8" w:rsidP="00FF7629">
      <w:pPr>
        <w:pStyle w:val="Alishlah31text"/>
        <w:rPr>
          <w:rFonts w:eastAsia="SimSun"/>
          <w:spacing w:val="-2"/>
          <w:lang w:val="en-ID" w:eastAsia="zh-CN"/>
        </w:rPr>
      </w:pPr>
    </w:p>
    <w:p w14:paraId="1AF446DF" w14:textId="77777777" w:rsidR="00BE14C8" w:rsidRDefault="00BE14C8" w:rsidP="00FF7629">
      <w:pPr>
        <w:pStyle w:val="Alishlah31text"/>
        <w:rPr>
          <w:rFonts w:eastAsia="SimSun"/>
          <w:spacing w:val="-2"/>
          <w:lang w:val="en-ID" w:eastAsia="zh-CN"/>
        </w:rPr>
      </w:pPr>
    </w:p>
    <w:p w14:paraId="284FA631" w14:textId="77777777" w:rsidR="00BE14C8" w:rsidRPr="00FF7629" w:rsidRDefault="00BE14C8" w:rsidP="00FF7629">
      <w:pPr>
        <w:pStyle w:val="Alishlah31text"/>
        <w:rPr>
          <w:rFonts w:eastAsia="SimSun"/>
          <w:spacing w:val="-2"/>
          <w:lang w:val="en-ID" w:eastAsia="zh-CN"/>
        </w:rPr>
      </w:pPr>
    </w:p>
    <w:p w14:paraId="12A75CBA" w14:textId="77777777" w:rsidR="00FF7629" w:rsidRDefault="00FF7629" w:rsidP="00C963A8">
      <w:pPr>
        <w:pStyle w:val="Alishlah21heading1"/>
        <w:numPr>
          <w:ilvl w:val="0"/>
          <w:numId w:val="0"/>
        </w:numPr>
      </w:pPr>
      <w:r w:rsidRPr="00FF7629">
        <w:lastRenderedPageBreak/>
        <w:t>Synthesis Methodology</w:t>
      </w:r>
    </w:p>
    <w:p w14:paraId="399D0484" w14:textId="77777777" w:rsidR="00FF7629" w:rsidRPr="00FF7629" w:rsidRDefault="00FF7629" w:rsidP="00FF7629">
      <w:pPr>
        <w:pStyle w:val="Alishlah31text"/>
        <w:rPr>
          <w:rFonts w:eastAsia="SimSun"/>
          <w:spacing w:val="-2"/>
          <w:lang w:val="en-ID" w:eastAsia="zh-CN"/>
        </w:rPr>
      </w:pPr>
      <w:r w:rsidRPr="00FF7629">
        <w:rPr>
          <w:rFonts w:eastAsia="SimSun"/>
          <w:spacing w:val="-2"/>
          <w:lang w:val="en-ID" w:eastAsia="zh-CN"/>
        </w:rPr>
        <w:t>Given the diversity of the included studies in scope, methodology, and context, a qualitative thematic synthesis approach was employed, as recommended when meta-analysis is not appropriate due to heterogeneity (Thomas &amp; Harden, 2008). The synthesis proceeded in three interlinked stages. First, a descriptive analysis mapped the characteristics of the evidence base, summarizing publication trends, geographic distribution, and research methodologies. Second, an inductive thematic analysis was conducted (Braun &amp; Clarke, 2006). The textual data from the "findings" and "discussion" sections of all studies were systematically coded. These initial codes were then iteratively grouped into descriptive themes and further refined into analytical themes that directly addressed the research questions, such as "Policy-to-Practice Translational Challenges" or "Contextual Adaptation of Pedagogical Models." Finally, a narrative synthesis wove these themes together, exploring relationships between them, comparing findings across the Southeast Asian and U.S. contexts, and tracing developmental patterns across the 2009-2024 timeline.</w:t>
      </w:r>
    </w:p>
    <w:p w14:paraId="57C31797" w14:textId="77777777" w:rsidR="00FF7629" w:rsidRDefault="00FF7629" w:rsidP="00C963A8">
      <w:pPr>
        <w:pStyle w:val="Alishlah21heading1"/>
        <w:numPr>
          <w:ilvl w:val="0"/>
          <w:numId w:val="0"/>
        </w:numPr>
      </w:pPr>
      <w:r w:rsidRPr="00FF7629">
        <w:t>Quality Assessment</w:t>
      </w:r>
    </w:p>
    <w:p w14:paraId="726CDB50" w14:textId="77777777" w:rsidR="00FF7629" w:rsidRPr="00FF7629" w:rsidRDefault="00FF7629" w:rsidP="00FF7629">
      <w:pPr>
        <w:pStyle w:val="Alishlah31text"/>
        <w:rPr>
          <w:rFonts w:eastAsia="SimSun"/>
          <w:spacing w:val="-2"/>
          <w:lang w:val="en-ID" w:eastAsia="zh-CN"/>
        </w:rPr>
      </w:pPr>
      <w:r w:rsidRPr="00FF7629">
        <w:rPr>
          <w:rFonts w:eastAsia="SimSun"/>
          <w:spacing w:val="-2"/>
          <w:lang w:val="en-ID" w:eastAsia="zh-CN"/>
        </w:rPr>
        <w:t>To critically appraise the methodological rigor of the included studies, the Mixed Methods Appraisal Tool (MMAT) version 2018 was employed (Hong et al., 2018). Each study was evaluated against criteria appropriate to its design (qualitative, quantitative, or mixed methods). The results of this appraisal are presented narratively in the synthesis, informing the interpretation of the findings by acknowledging the strengths and limitations of the collective evidence base upon which this review's conclusions are drawn.</w:t>
      </w:r>
    </w:p>
    <w:p w14:paraId="552675A3"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3F7BC582" w14:textId="77777777" w:rsidR="005618E3" w:rsidRPr="005618E3" w:rsidRDefault="005618E3" w:rsidP="005618E3">
      <w:pPr>
        <w:pStyle w:val="Alishlah21heading1"/>
        <w:numPr>
          <w:ilvl w:val="0"/>
          <w:numId w:val="0"/>
        </w:numPr>
        <w:rPr>
          <w:sz w:val="22"/>
        </w:rPr>
      </w:pPr>
      <w:r w:rsidRPr="005618E3">
        <w:rPr>
          <w:sz w:val="22"/>
        </w:rPr>
        <w:t>Findings</w:t>
      </w:r>
    </w:p>
    <w:p w14:paraId="0A54D729" w14:textId="77777777" w:rsidR="002B31FD" w:rsidRDefault="00FF7629" w:rsidP="002B31FD">
      <w:pPr>
        <w:pStyle w:val="Alishlah31text"/>
      </w:pPr>
      <w:r w:rsidRPr="00FF7629">
        <w:t>This systematic review identified and analyzed 15 studies that met the inclusion criteria. The descriptive characteristics of the included studies are presented in Table 2, followed by a thematic synthesis organized to answer the three research questions.</w:t>
      </w:r>
    </w:p>
    <w:p w14:paraId="73CEE595" w14:textId="77777777" w:rsidR="00FF7629" w:rsidRDefault="00FF7629" w:rsidP="00FF7629">
      <w:pPr>
        <w:pStyle w:val="Alishlah31text"/>
        <w:ind w:firstLine="0"/>
      </w:pPr>
    </w:p>
    <w:p w14:paraId="634A6CFA" w14:textId="77777777" w:rsidR="00FF7629" w:rsidRDefault="00FF7629" w:rsidP="00FF7629">
      <w:pPr>
        <w:pStyle w:val="Alishlah31text"/>
        <w:ind w:firstLine="0"/>
        <w:jc w:val="center"/>
      </w:pPr>
      <w:r w:rsidRPr="00FF7629">
        <w:rPr>
          <w:b/>
          <w:bCs/>
        </w:rPr>
        <w:t>Table 2</w:t>
      </w:r>
      <w:r>
        <w:t>.</w:t>
      </w:r>
      <w:r w:rsidRPr="00FF7629">
        <w:t xml:space="preserve"> Characteristics of Included Studies (N=15)</w:t>
      </w:r>
    </w:p>
    <w:tbl>
      <w:tblPr>
        <w:tblStyle w:val="TableGrid"/>
        <w:tblW w:w="9517"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542"/>
        <w:gridCol w:w="1331"/>
        <w:gridCol w:w="1028"/>
        <w:gridCol w:w="1547"/>
        <w:gridCol w:w="1417"/>
        <w:gridCol w:w="1638"/>
        <w:gridCol w:w="2156"/>
      </w:tblGrid>
      <w:tr w:rsidR="00BE14C8" w:rsidRPr="00BE14C8" w14:paraId="14C5CBCE" w14:textId="77777777" w:rsidTr="00BE14C8">
        <w:trPr>
          <w:jc w:val="center"/>
        </w:trPr>
        <w:tc>
          <w:tcPr>
            <w:tcW w:w="400" w:type="dxa"/>
            <w:hideMark/>
          </w:tcPr>
          <w:p w14:paraId="3943A9BB"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No.</w:t>
            </w:r>
          </w:p>
        </w:tc>
        <w:tc>
          <w:tcPr>
            <w:tcW w:w="0" w:type="auto"/>
            <w:hideMark/>
          </w:tcPr>
          <w:p w14:paraId="73D34EE3"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Author(s) (Year)</w:t>
            </w:r>
          </w:p>
        </w:tc>
        <w:tc>
          <w:tcPr>
            <w:tcW w:w="0" w:type="auto"/>
            <w:hideMark/>
          </w:tcPr>
          <w:p w14:paraId="0C864025"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Database Origin</w:t>
            </w:r>
          </w:p>
        </w:tc>
        <w:tc>
          <w:tcPr>
            <w:tcW w:w="0" w:type="auto"/>
            <w:hideMark/>
          </w:tcPr>
          <w:p w14:paraId="155791A7"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Geographic Focus</w:t>
            </w:r>
          </w:p>
        </w:tc>
        <w:tc>
          <w:tcPr>
            <w:tcW w:w="0" w:type="auto"/>
            <w:hideMark/>
          </w:tcPr>
          <w:p w14:paraId="5B7B6EB6"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Study Design</w:t>
            </w:r>
          </w:p>
        </w:tc>
        <w:tc>
          <w:tcPr>
            <w:tcW w:w="1638" w:type="dxa"/>
            <w:hideMark/>
          </w:tcPr>
          <w:p w14:paraId="29531B0E"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Primary Focus</w:t>
            </w:r>
          </w:p>
        </w:tc>
        <w:tc>
          <w:tcPr>
            <w:tcW w:w="2156" w:type="dxa"/>
            <w:hideMark/>
          </w:tcPr>
          <w:p w14:paraId="7441A0E1"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Key Training Model/Strategy Identified</w:t>
            </w:r>
          </w:p>
        </w:tc>
      </w:tr>
      <w:tr w:rsidR="00BE14C8" w:rsidRPr="00BE14C8" w14:paraId="04E8C327" w14:textId="77777777" w:rsidTr="00BE14C8">
        <w:trPr>
          <w:jc w:val="center"/>
        </w:trPr>
        <w:tc>
          <w:tcPr>
            <w:tcW w:w="400" w:type="dxa"/>
            <w:hideMark/>
          </w:tcPr>
          <w:p w14:paraId="03285F41"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1</w:t>
            </w:r>
          </w:p>
        </w:tc>
        <w:tc>
          <w:tcPr>
            <w:tcW w:w="0" w:type="auto"/>
            <w:hideMark/>
          </w:tcPr>
          <w:p w14:paraId="3EDAE3AE"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Susanto et al. (2024)</w:t>
            </w:r>
          </w:p>
        </w:tc>
        <w:tc>
          <w:tcPr>
            <w:tcW w:w="0" w:type="auto"/>
            <w:hideMark/>
          </w:tcPr>
          <w:p w14:paraId="6E5D6459"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Scopus</w:t>
            </w:r>
          </w:p>
        </w:tc>
        <w:tc>
          <w:tcPr>
            <w:tcW w:w="0" w:type="auto"/>
            <w:hideMark/>
          </w:tcPr>
          <w:p w14:paraId="0FDFAEE2"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 (International Perspective)</w:t>
            </w:r>
          </w:p>
        </w:tc>
        <w:tc>
          <w:tcPr>
            <w:tcW w:w="0" w:type="auto"/>
            <w:hideMark/>
          </w:tcPr>
          <w:p w14:paraId="1344D405"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Qualitative / Policy Analysis</w:t>
            </w:r>
          </w:p>
        </w:tc>
        <w:tc>
          <w:tcPr>
            <w:tcW w:w="1638" w:type="dxa"/>
            <w:hideMark/>
          </w:tcPr>
          <w:p w14:paraId="528674F8"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Language Policy Implementation</w:t>
            </w:r>
          </w:p>
        </w:tc>
        <w:tc>
          <w:tcPr>
            <w:tcW w:w="2156" w:type="dxa"/>
            <w:hideMark/>
          </w:tcPr>
          <w:p w14:paraId="0B422DEE"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Policy-driven international promotion framework</w:t>
            </w:r>
          </w:p>
        </w:tc>
      </w:tr>
      <w:tr w:rsidR="00BE14C8" w:rsidRPr="00BE14C8" w14:paraId="0B56A269" w14:textId="77777777" w:rsidTr="00BE14C8">
        <w:trPr>
          <w:jc w:val="center"/>
        </w:trPr>
        <w:tc>
          <w:tcPr>
            <w:tcW w:w="400" w:type="dxa"/>
            <w:hideMark/>
          </w:tcPr>
          <w:p w14:paraId="709371C7"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2</w:t>
            </w:r>
          </w:p>
        </w:tc>
        <w:tc>
          <w:tcPr>
            <w:tcW w:w="0" w:type="auto"/>
            <w:hideMark/>
          </w:tcPr>
          <w:p w14:paraId="6380CB7D"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Muliastuti</w:t>
            </w:r>
            <w:proofErr w:type="spellEnd"/>
            <w:r w:rsidRPr="00BE14C8">
              <w:rPr>
                <w:rFonts w:ascii="Palatino Linotype" w:eastAsia="Times New Roman" w:hAnsi="Palatino Linotype" w:cs="Times New Roman"/>
              </w:rPr>
              <w:t xml:space="preserve"> et al. (2023)</w:t>
            </w:r>
          </w:p>
        </w:tc>
        <w:tc>
          <w:tcPr>
            <w:tcW w:w="0" w:type="auto"/>
            <w:hideMark/>
          </w:tcPr>
          <w:p w14:paraId="5F0B5F56"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Scopus</w:t>
            </w:r>
          </w:p>
        </w:tc>
        <w:tc>
          <w:tcPr>
            <w:tcW w:w="0" w:type="auto"/>
            <w:hideMark/>
          </w:tcPr>
          <w:p w14:paraId="525559C8"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w:t>
            </w:r>
          </w:p>
        </w:tc>
        <w:tc>
          <w:tcPr>
            <w:tcW w:w="0" w:type="auto"/>
            <w:hideMark/>
          </w:tcPr>
          <w:p w14:paraId="2F622AF1"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Model Development</w:t>
            </w:r>
          </w:p>
        </w:tc>
        <w:tc>
          <w:tcPr>
            <w:tcW w:w="1638" w:type="dxa"/>
            <w:hideMark/>
          </w:tcPr>
          <w:p w14:paraId="64163EDC"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Curriculum &amp; Materials</w:t>
            </w:r>
          </w:p>
        </w:tc>
        <w:tc>
          <w:tcPr>
            <w:tcW w:w="2156" w:type="dxa"/>
            <w:hideMark/>
          </w:tcPr>
          <w:p w14:paraId="4476598F"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CEFR adaptation to BISOL (BIPA) for integrative materials</w:t>
            </w:r>
          </w:p>
        </w:tc>
      </w:tr>
      <w:tr w:rsidR="00BE14C8" w:rsidRPr="00BE14C8" w14:paraId="3F3F224D" w14:textId="77777777" w:rsidTr="00BE14C8">
        <w:trPr>
          <w:jc w:val="center"/>
        </w:trPr>
        <w:tc>
          <w:tcPr>
            <w:tcW w:w="400" w:type="dxa"/>
            <w:hideMark/>
          </w:tcPr>
          <w:p w14:paraId="15A1595C"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3</w:t>
            </w:r>
          </w:p>
        </w:tc>
        <w:tc>
          <w:tcPr>
            <w:tcW w:w="0" w:type="auto"/>
            <w:hideMark/>
          </w:tcPr>
          <w:p w14:paraId="69EDCF46"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Suyitno</w:t>
            </w:r>
            <w:proofErr w:type="spellEnd"/>
            <w:r w:rsidRPr="00BE14C8">
              <w:rPr>
                <w:rFonts w:ascii="Palatino Linotype" w:eastAsia="Times New Roman" w:hAnsi="Palatino Linotype" w:cs="Times New Roman"/>
              </w:rPr>
              <w:t xml:space="preserve"> et al. (2021)</w:t>
            </w:r>
          </w:p>
        </w:tc>
        <w:tc>
          <w:tcPr>
            <w:tcW w:w="0" w:type="auto"/>
            <w:hideMark/>
          </w:tcPr>
          <w:p w14:paraId="63359AC0"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Scopus</w:t>
            </w:r>
          </w:p>
        </w:tc>
        <w:tc>
          <w:tcPr>
            <w:tcW w:w="0" w:type="auto"/>
            <w:hideMark/>
          </w:tcPr>
          <w:p w14:paraId="1A7EAE4A"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 (Learners' Perspective)</w:t>
            </w:r>
          </w:p>
        </w:tc>
        <w:tc>
          <w:tcPr>
            <w:tcW w:w="0" w:type="auto"/>
            <w:hideMark/>
          </w:tcPr>
          <w:p w14:paraId="08F10E00"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Quantitative (Survey)</w:t>
            </w:r>
          </w:p>
        </w:tc>
        <w:tc>
          <w:tcPr>
            <w:tcW w:w="1638" w:type="dxa"/>
            <w:hideMark/>
          </w:tcPr>
          <w:p w14:paraId="22B2C38F"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Learner Perception &amp; Outcome</w:t>
            </w:r>
          </w:p>
        </w:tc>
        <w:tc>
          <w:tcPr>
            <w:tcW w:w="2156" w:type="dxa"/>
            <w:hideMark/>
          </w:tcPr>
          <w:p w14:paraId="3F050936"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Holistic learner feedback for instructional design</w:t>
            </w:r>
          </w:p>
        </w:tc>
      </w:tr>
      <w:tr w:rsidR="00BE14C8" w:rsidRPr="00BE14C8" w14:paraId="0ACE4465" w14:textId="77777777" w:rsidTr="00BE14C8">
        <w:trPr>
          <w:jc w:val="center"/>
        </w:trPr>
        <w:tc>
          <w:tcPr>
            <w:tcW w:w="400" w:type="dxa"/>
            <w:hideMark/>
          </w:tcPr>
          <w:p w14:paraId="7413BAF6"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4</w:t>
            </w:r>
          </w:p>
        </w:tc>
        <w:tc>
          <w:tcPr>
            <w:tcW w:w="0" w:type="auto"/>
            <w:hideMark/>
          </w:tcPr>
          <w:p w14:paraId="33F86B26"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Isnaniah</w:t>
            </w:r>
            <w:proofErr w:type="spellEnd"/>
            <w:r w:rsidRPr="00BE14C8">
              <w:rPr>
                <w:rFonts w:ascii="Palatino Linotype" w:eastAsia="Times New Roman" w:hAnsi="Palatino Linotype" w:cs="Times New Roman"/>
              </w:rPr>
              <w:t xml:space="preserve"> &amp; </w:t>
            </w:r>
            <w:proofErr w:type="spellStart"/>
            <w:r w:rsidRPr="00BE14C8">
              <w:rPr>
                <w:rFonts w:ascii="Palatino Linotype" w:eastAsia="Times New Roman" w:hAnsi="Palatino Linotype" w:cs="Times New Roman"/>
              </w:rPr>
              <w:t>Mustofa</w:t>
            </w:r>
            <w:proofErr w:type="spellEnd"/>
            <w:r w:rsidRPr="00BE14C8">
              <w:rPr>
                <w:rFonts w:ascii="Palatino Linotype" w:eastAsia="Times New Roman" w:hAnsi="Palatino Linotype" w:cs="Times New Roman"/>
              </w:rPr>
              <w:t xml:space="preserve"> (2020)</w:t>
            </w:r>
          </w:p>
        </w:tc>
        <w:tc>
          <w:tcPr>
            <w:tcW w:w="0" w:type="auto"/>
            <w:hideMark/>
          </w:tcPr>
          <w:p w14:paraId="5C336D57"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Scopus</w:t>
            </w:r>
          </w:p>
        </w:tc>
        <w:tc>
          <w:tcPr>
            <w:tcW w:w="0" w:type="auto"/>
            <w:hideMark/>
          </w:tcPr>
          <w:p w14:paraId="3BF688F5"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 (Islamic Institution)</w:t>
            </w:r>
          </w:p>
        </w:tc>
        <w:tc>
          <w:tcPr>
            <w:tcW w:w="0" w:type="auto"/>
            <w:hideMark/>
          </w:tcPr>
          <w:p w14:paraId="7BF0FD7C"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Qualitative (Case Study)</w:t>
            </w:r>
          </w:p>
        </w:tc>
        <w:tc>
          <w:tcPr>
            <w:tcW w:w="1638" w:type="dxa"/>
            <w:hideMark/>
          </w:tcPr>
          <w:p w14:paraId="6739801F"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Program Management</w:t>
            </w:r>
          </w:p>
        </w:tc>
        <w:tc>
          <w:tcPr>
            <w:tcW w:w="2156" w:type="dxa"/>
            <w:hideMark/>
          </w:tcPr>
          <w:p w14:paraId="23F50BB1"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Islamic education-integrated program management</w:t>
            </w:r>
          </w:p>
        </w:tc>
      </w:tr>
      <w:tr w:rsidR="00BE14C8" w:rsidRPr="00BE14C8" w14:paraId="5012843D" w14:textId="77777777" w:rsidTr="00BE14C8">
        <w:trPr>
          <w:jc w:val="center"/>
        </w:trPr>
        <w:tc>
          <w:tcPr>
            <w:tcW w:w="400" w:type="dxa"/>
            <w:hideMark/>
          </w:tcPr>
          <w:p w14:paraId="262287EC"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5</w:t>
            </w:r>
          </w:p>
        </w:tc>
        <w:tc>
          <w:tcPr>
            <w:tcW w:w="0" w:type="auto"/>
            <w:hideMark/>
          </w:tcPr>
          <w:p w14:paraId="15C5292D"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Mufidah</w:t>
            </w:r>
            <w:proofErr w:type="spellEnd"/>
            <w:r w:rsidRPr="00BE14C8">
              <w:rPr>
                <w:rFonts w:ascii="Palatino Linotype" w:eastAsia="Times New Roman" w:hAnsi="Palatino Linotype" w:cs="Times New Roman"/>
              </w:rPr>
              <w:t xml:space="preserve"> &amp; Sari (2022)</w:t>
            </w:r>
          </w:p>
        </w:tc>
        <w:tc>
          <w:tcPr>
            <w:tcW w:w="0" w:type="auto"/>
            <w:hideMark/>
          </w:tcPr>
          <w:p w14:paraId="47C95EEA"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ERIC</w:t>
            </w:r>
          </w:p>
        </w:tc>
        <w:tc>
          <w:tcPr>
            <w:tcW w:w="0" w:type="auto"/>
            <w:hideMark/>
          </w:tcPr>
          <w:p w14:paraId="134B205C"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 (South Kalimantan)</w:t>
            </w:r>
          </w:p>
        </w:tc>
        <w:tc>
          <w:tcPr>
            <w:tcW w:w="0" w:type="auto"/>
            <w:hideMark/>
          </w:tcPr>
          <w:p w14:paraId="44252BBC"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Mixed Methods (Needs Analysis)</w:t>
            </w:r>
          </w:p>
        </w:tc>
        <w:tc>
          <w:tcPr>
            <w:tcW w:w="1638" w:type="dxa"/>
            <w:hideMark/>
          </w:tcPr>
          <w:p w14:paraId="610B9B9E"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Program Development</w:t>
            </w:r>
          </w:p>
        </w:tc>
        <w:tc>
          <w:tcPr>
            <w:tcW w:w="2156" w:type="dxa"/>
            <w:hideMark/>
          </w:tcPr>
          <w:p w14:paraId="155DF1D0"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Needs analysis for new BIPA program establishment</w:t>
            </w:r>
          </w:p>
        </w:tc>
      </w:tr>
      <w:tr w:rsidR="00BE14C8" w:rsidRPr="00BE14C8" w14:paraId="5E11B7D1" w14:textId="77777777" w:rsidTr="00BE14C8">
        <w:trPr>
          <w:jc w:val="center"/>
        </w:trPr>
        <w:tc>
          <w:tcPr>
            <w:tcW w:w="400" w:type="dxa"/>
            <w:hideMark/>
          </w:tcPr>
          <w:p w14:paraId="71680388"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lastRenderedPageBreak/>
              <w:t>6</w:t>
            </w:r>
          </w:p>
        </w:tc>
        <w:tc>
          <w:tcPr>
            <w:tcW w:w="0" w:type="auto"/>
            <w:hideMark/>
          </w:tcPr>
          <w:p w14:paraId="3E5C5D69"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Velásquez-Hoyos</w:t>
            </w:r>
            <w:proofErr w:type="spellEnd"/>
            <w:r w:rsidRPr="00BE14C8">
              <w:rPr>
                <w:rFonts w:ascii="Palatino Linotype" w:eastAsia="Times New Roman" w:hAnsi="Palatino Linotype" w:cs="Times New Roman"/>
              </w:rPr>
              <w:t xml:space="preserve"> &amp; Martínez-Burgos (2023)</w:t>
            </w:r>
          </w:p>
        </w:tc>
        <w:tc>
          <w:tcPr>
            <w:tcW w:w="0" w:type="auto"/>
            <w:hideMark/>
          </w:tcPr>
          <w:p w14:paraId="78785949"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ERIC</w:t>
            </w:r>
          </w:p>
        </w:tc>
        <w:tc>
          <w:tcPr>
            <w:tcW w:w="0" w:type="auto"/>
            <w:hideMark/>
          </w:tcPr>
          <w:p w14:paraId="3C06450C"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International (U.S. Exchange Context)</w:t>
            </w:r>
          </w:p>
        </w:tc>
        <w:tc>
          <w:tcPr>
            <w:tcW w:w="0" w:type="auto"/>
            <w:hideMark/>
          </w:tcPr>
          <w:p w14:paraId="5793BD31"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Qualitative (Narrative Inquiry)</w:t>
            </w:r>
          </w:p>
        </w:tc>
        <w:tc>
          <w:tcPr>
            <w:tcW w:w="1638" w:type="dxa"/>
            <w:hideMark/>
          </w:tcPr>
          <w:p w14:paraId="59CDE6DA"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Teacher Exchange &amp; Development</w:t>
            </w:r>
          </w:p>
        </w:tc>
        <w:tc>
          <w:tcPr>
            <w:tcW w:w="2156" w:type="dxa"/>
            <w:hideMark/>
          </w:tcPr>
          <w:p w14:paraId="4B1E222B"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Fulbright FLTA model for intercultural teacher training</w:t>
            </w:r>
          </w:p>
        </w:tc>
      </w:tr>
      <w:tr w:rsidR="00BE14C8" w:rsidRPr="00BE14C8" w14:paraId="166D8C9F" w14:textId="77777777" w:rsidTr="00BE14C8">
        <w:trPr>
          <w:jc w:val="center"/>
        </w:trPr>
        <w:tc>
          <w:tcPr>
            <w:tcW w:w="400" w:type="dxa"/>
            <w:hideMark/>
          </w:tcPr>
          <w:p w14:paraId="68C5B1DA"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7</w:t>
            </w:r>
          </w:p>
        </w:tc>
        <w:tc>
          <w:tcPr>
            <w:tcW w:w="0" w:type="auto"/>
            <w:hideMark/>
          </w:tcPr>
          <w:p w14:paraId="0344EBBD"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Wong &amp; Hill (2023)</w:t>
            </w:r>
          </w:p>
        </w:tc>
        <w:tc>
          <w:tcPr>
            <w:tcW w:w="0" w:type="auto"/>
            <w:hideMark/>
          </w:tcPr>
          <w:p w14:paraId="06146896"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ERIC</w:t>
            </w:r>
          </w:p>
        </w:tc>
        <w:tc>
          <w:tcPr>
            <w:tcW w:w="0" w:type="auto"/>
            <w:hideMark/>
          </w:tcPr>
          <w:p w14:paraId="57FCFB70"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United States</w:t>
            </w:r>
          </w:p>
        </w:tc>
        <w:tc>
          <w:tcPr>
            <w:tcW w:w="0" w:type="auto"/>
            <w:hideMark/>
          </w:tcPr>
          <w:p w14:paraId="1F46EA52"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Descriptive Analysis</w:t>
            </w:r>
          </w:p>
        </w:tc>
        <w:tc>
          <w:tcPr>
            <w:tcW w:w="1638" w:type="dxa"/>
            <w:hideMark/>
          </w:tcPr>
          <w:p w14:paraId="7E9812E4"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Bilingual Education Policy</w:t>
            </w:r>
          </w:p>
        </w:tc>
        <w:tc>
          <w:tcPr>
            <w:tcW w:w="2156" w:type="dxa"/>
            <w:hideMark/>
          </w:tcPr>
          <w:p w14:paraId="2B19C37E"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Contextual challenges framework for Asian LCTL programs</w:t>
            </w:r>
          </w:p>
        </w:tc>
      </w:tr>
      <w:tr w:rsidR="00BE14C8" w:rsidRPr="00BE14C8" w14:paraId="5B388135" w14:textId="77777777" w:rsidTr="00BE14C8">
        <w:trPr>
          <w:jc w:val="center"/>
        </w:trPr>
        <w:tc>
          <w:tcPr>
            <w:tcW w:w="400" w:type="dxa"/>
            <w:hideMark/>
          </w:tcPr>
          <w:p w14:paraId="03B86D0F"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8</w:t>
            </w:r>
          </w:p>
        </w:tc>
        <w:tc>
          <w:tcPr>
            <w:tcW w:w="0" w:type="auto"/>
            <w:hideMark/>
          </w:tcPr>
          <w:p w14:paraId="553C7BE4"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Kristiawan</w:t>
            </w:r>
            <w:proofErr w:type="spellEnd"/>
            <w:r w:rsidRPr="00BE14C8">
              <w:rPr>
                <w:rFonts w:ascii="Palatino Linotype" w:eastAsia="Times New Roman" w:hAnsi="Palatino Linotype" w:cs="Times New Roman"/>
              </w:rPr>
              <w:t xml:space="preserve"> et al. (2022)</w:t>
            </w:r>
          </w:p>
        </w:tc>
        <w:tc>
          <w:tcPr>
            <w:tcW w:w="0" w:type="auto"/>
            <w:hideMark/>
          </w:tcPr>
          <w:p w14:paraId="0C69B073"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ERIC</w:t>
            </w:r>
          </w:p>
        </w:tc>
        <w:tc>
          <w:tcPr>
            <w:tcW w:w="0" w:type="auto"/>
            <w:hideMark/>
          </w:tcPr>
          <w:p w14:paraId="4DA2DE5A"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 (Islamic Schools)</w:t>
            </w:r>
          </w:p>
        </w:tc>
        <w:tc>
          <w:tcPr>
            <w:tcW w:w="0" w:type="auto"/>
            <w:hideMark/>
          </w:tcPr>
          <w:p w14:paraId="7C3913D5"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Participatory Action Research</w:t>
            </w:r>
          </w:p>
        </w:tc>
        <w:tc>
          <w:tcPr>
            <w:tcW w:w="1638" w:type="dxa"/>
            <w:hideMark/>
          </w:tcPr>
          <w:p w14:paraId="34BADD39"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Teacher Professional Development</w:t>
            </w:r>
          </w:p>
        </w:tc>
        <w:tc>
          <w:tcPr>
            <w:tcW w:w="2156" w:type="dxa"/>
            <w:hideMark/>
          </w:tcPr>
          <w:p w14:paraId="7FC59D82"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TPACK-integrated CALL professional development</w:t>
            </w:r>
          </w:p>
        </w:tc>
      </w:tr>
      <w:tr w:rsidR="00BE14C8" w:rsidRPr="00BE14C8" w14:paraId="40F6444C" w14:textId="77777777" w:rsidTr="00BE14C8">
        <w:trPr>
          <w:jc w:val="center"/>
        </w:trPr>
        <w:tc>
          <w:tcPr>
            <w:tcW w:w="400" w:type="dxa"/>
            <w:hideMark/>
          </w:tcPr>
          <w:p w14:paraId="21C1A732"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9</w:t>
            </w:r>
          </w:p>
        </w:tc>
        <w:tc>
          <w:tcPr>
            <w:tcW w:w="0" w:type="auto"/>
            <w:hideMark/>
          </w:tcPr>
          <w:p w14:paraId="1D37F3F2"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Permadi</w:t>
            </w:r>
            <w:proofErr w:type="spellEnd"/>
            <w:r w:rsidRPr="00BE14C8">
              <w:rPr>
                <w:rFonts w:ascii="Palatino Linotype" w:eastAsia="Times New Roman" w:hAnsi="Palatino Linotype" w:cs="Times New Roman"/>
              </w:rPr>
              <w:t xml:space="preserve"> et al. (2022)</w:t>
            </w:r>
          </w:p>
        </w:tc>
        <w:tc>
          <w:tcPr>
            <w:tcW w:w="0" w:type="auto"/>
            <w:hideMark/>
          </w:tcPr>
          <w:p w14:paraId="06964909"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Google Scholar</w:t>
            </w:r>
          </w:p>
        </w:tc>
        <w:tc>
          <w:tcPr>
            <w:tcW w:w="0" w:type="auto"/>
            <w:hideMark/>
          </w:tcPr>
          <w:p w14:paraId="4E7C81A3"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 (Linguistic Focus)</w:t>
            </w:r>
          </w:p>
        </w:tc>
        <w:tc>
          <w:tcPr>
            <w:tcW w:w="0" w:type="auto"/>
            <w:hideMark/>
          </w:tcPr>
          <w:p w14:paraId="198619DE"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Qualitative Analysis</w:t>
            </w:r>
          </w:p>
        </w:tc>
        <w:tc>
          <w:tcPr>
            <w:tcW w:w="1638" w:type="dxa"/>
            <w:hideMark/>
          </w:tcPr>
          <w:p w14:paraId="489B1059"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Linguistic Challenges</w:t>
            </w:r>
          </w:p>
        </w:tc>
        <w:tc>
          <w:tcPr>
            <w:tcW w:w="2156" w:type="dxa"/>
            <w:hideMark/>
          </w:tcPr>
          <w:p w14:paraId="7FCEF0BB"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Cross-linguistic awareness in instructional design</w:t>
            </w:r>
          </w:p>
        </w:tc>
      </w:tr>
      <w:tr w:rsidR="00BE14C8" w:rsidRPr="00BE14C8" w14:paraId="1256C00C" w14:textId="77777777" w:rsidTr="00BE14C8">
        <w:trPr>
          <w:jc w:val="center"/>
        </w:trPr>
        <w:tc>
          <w:tcPr>
            <w:tcW w:w="400" w:type="dxa"/>
            <w:hideMark/>
          </w:tcPr>
          <w:p w14:paraId="42A6F5F2"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10</w:t>
            </w:r>
          </w:p>
        </w:tc>
        <w:tc>
          <w:tcPr>
            <w:tcW w:w="0" w:type="auto"/>
            <w:hideMark/>
          </w:tcPr>
          <w:p w14:paraId="1A3612B1"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Pratama</w:t>
            </w:r>
            <w:proofErr w:type="spellEnd"/>
            <w:r w:rsidRPr="00BE14C8">
              <w:rPr>
                <w:rFonts w:ascii="Palatino Linotype" w:eastAsia="Times New Roman" w:hAnsi="Palatino Linotype" w:cs="Times New Roman"/>
              </w:rPr>
              <w:t xml:space="preserve"> et al. (2022)</w:t>
            </w:r>
          </w:p>
        </w:tc>
        <w:tc>
          <w:tcPr>
            <w:tcW w:w="0" w:type="auto"/>
            <w:hideMark/>
          </w:tcPr>
          <w:p w14:paraId="2777D89C"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Google Scholar</w:t>
            </w:r>
          </w:p>
        </w:tc>
        <w:tc>
          <w:tcPr>
            <w:tcW w:w="0" w:type="auto"/>
            <w:hideMark/>
          </w:tcPr>
          <w:p w14:paraId="3BBD9703"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 (Technology Focus)</w:t>
            </w:r>
          </w:p>
        </w:tc>
        <w:tc>
          <w:tcPr>
            <w:tcW w:w="0" w:type="auto"/>
            <w:hideMark/>
          </w:tcPr>
          <w:p w14:paraId="73572CB9"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Development &amp; Evaluation</w:t>
            </w:r>
          </w:p>
        </w:tc>
        <w:tc>
          <w:tcPr>
            <w:tcW w:w="1638" w:type="dxa"/>
            <w:hideMark/>
          </w:tcPr>
          <w:p w14:paraId="725B9EDA"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Technology-Enhanced Learning</w:t>
            </w:r>
          </w:p>
        </w:tc>
        <w:tc>
          <w:tcPr>
            <w:tcW w:w="2156" w:type="dxa"/>
            <w:hideMark/>
          </w:tcPr>
          <w:p w14:paraId="3FEA15E5"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Augmented Reality for cultural content delivery</w:t>
            </w:r>
          </w:p>
        </w:tc>
      </w:tr>
      <w:tr w:rsidR="00BE14C8" w:rsidRPr="00BE14C8" w14:paraId="62CC8614" w14:textId="77777777" w:rsidTr="00BE14C8">
        <w:trPr>
          <w:jc w:val="center"/>
        </w:trPr>
        <w:tc>
          <w:tcPr>
            <w:tcW w:w="400" w:type="dxa"/>
            <w:hideMark/>
          </w:tcPr>
          <w:p w14:paraId="25123546"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11</w:t>
            </w:r>
          </w:p>
        </w:tc>
        <w:tc>
          <w:tcPr>
            <w:tcW w:w="0" w:type="auto"/>
            <w:hideMark/>
          </w:tcPr>
          <w:p w14:paraId="469278A6"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Ardiyanti</w:t>
            </w:r>
            <w:proofErr w:type="spellEnd"/>
            <w:r w:rsidRPr="00BE14C8">
              <w:rPr>
                <w:rFonts w:ascii="Palatino Linotype" w:eastAsia="Times New Roman" w:hAnsi="Palatino Linotype" w:cs="Times New Roman"/>
              </w:rPr>
              <w:t xml:space="preserve"> (2024)</w:t>
            </w:r>
          </w:p>
        </w:tc>
        <w:tc>
          <w:tcPr>
            <w:tcW w:w="0" w:type="auto"/>
            <w:hideMark/>
          </w:tcPr>
          <w:p w14:paraId="7C2B574F"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Google Scholar</w:t>
            </w:r>
          </w:p>
        </w:tc>
        <w:tc>
          <w:tcPr>
            <w:tcW w:w="0" w:type="auto"/>
            <w:hideMark/>
          </w:tcPr>
          <w:p w14:paraId="25C17E31"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w:t>
            </w:r>
          </w:p>
        </w:tc>
        <w:tc>
          <w:tcPr>
            <w:tcW w:w="0" w:type="auto"/>
            <w:hideMark/>
          </w:tcPr>
          <w:p w14:paraId="0B12E775"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Systematic Review</w:t>
            </w:r>
          </w:p>
        </w:tc>
        <w:tc>
          <w:tcPr>
            <w:tcW w:w="1638" w:type="dxa"/>
            <w:hideMark/>
          </w:tcPr>
          <w:p w14:paraId="6F463C2F"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Curriculum Evaluation</w:t>
            </w:r>
          </w:p>
        </w:tc>
        <w:tc>
          <w:tcPr>
            <w:tcW w:w="2156" w:type="dxa"/>
            <w:hideMark/>
          </w:tcPr>
          <w:p w14:paraId="747FB841"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Strengths/weaknesses analysis of national BIPA curriculum</w:t>
            </w:r>
          </w:p>
        </w:tc>
      </w:tr>
      <w:tr w:rsidR="00BE14C8" w:rsidRPr="00BE14C8" w14:paraId="62A1803E" w14:textId="77777777" w:rsidTr="00BE14C8">
        <w:trPr>
          <w:jc w:val="center"/>
        </w:trPr>
        <w:tc>
          <w:tcPr>
            <w:tcW w:w="400" w:type="dxa"/>
            <w:hideMark/>
          </w:tcPr>
          <w:p w14:paraId="5B409FD4"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12</w:t>
            </w:r>
          </w:p>
        </w:tc>
        <w:tc>
          <w:tcPr>
            <w:tcW w:w="0" w:type="auto"/>
            <w:hideMark/>
          </w:tcPr>
          <w:p w14:paraId="59407DCD"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Simek</w:t>
            </w:r>
            <w:proofErr w:type="spellEnd"/>
            <w:r w:rsidRPr="00BE14C8">
              <w:rPr>
                <w:rFonts w:ascii="Palatino Linotype" w:eastAsia="Times New Roman" w:hAnsi="Palatino Linotype" w:cs="Times New Roman"/>
              </w:rPr>
              <w:t xml:space="preserve"> &amp; Stewart (2024)</w:t>
            </w:r>
          </w:p>
        </w:tc>
        <w:tc>
          <w:tcPr>
            <w:tcW w:w="0" w:type="auto"/>
            <w:hideMark/>
          </w:tcPr>
          <w:p w14:paraId="1A270FFF"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Google Scholar</w:t>
            </w:r>
          </w:p>
        </w:tc>
        <w:tc>
          <w:tcPr>
            <w:tcW w:w="0" w:type="auto"/>
            <w:hideMark/>
          </w:tcPr>
          <w:p w14:paraId="679D5A0A"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 (Int'l Education)</w:t>
            </w:r>
          </w:p>
        </w:tc>
        <w:tc>
          <w:tcPr>
            <w:tcW w:w="0" w:type="auto"/>
            <w:hideMark/>
          </w:tcPr>
          <w:p w14:paraId="1A941883"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Systematic Review</w:t>
            </w:r>
          </w:p>
        </w:tc>
        <w:tc>
          <w:tcPr>
            <w:tcW w:w="1638" w:type="dxa"/>
            <w:hideMark/>
          </w:tcPr>
          <w:p w14:paraId="3E7D1C20"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International Student Support</w:t>
            </w:r>
          </w:p>
        </w:tc>
        <w:tc>
          <w:tcPr>
            <w:tcW w:w="2156" w:type="dxa"/>
            <w:hideMark/>
          </w:tcPr>
          <w:p w14:paraId="60ACDCDA"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BIPA as a component of int'l student recruitment ecosystem</w:t>
            </w:r>
          </w:p>
        </w:tc>
      </w:tr>
      <w:tr w:rsidR="00BE14C8" w:rsidRPr="00BE14C8" w14:paraId="685E8369" w14:textId="77777777" w:rsidTr="00BE14C8">
        <w:trPr>
          <w:jc w:val="center"/>
        </w:trPr>
        <w:tc>
          <w:tcPr>
            <w:tcW w:w="400" w:type="dxa"/>
            <w:hideMark/>
          </w:tcPr>
          <w:p w14:paraId="68C1BDB0"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13</w:t>
            </w:r>
          </w:p>
        </w:tc>
        <w:tc>
          <w:tcPr>
            <w:tcW w:w="0" w:type="auto"/>
            <w:hideMark/>
          </w:tcPr>
          <w:p w14:paraId="6B96E9BE"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Tamphu</w:t>
            </w:r>
            <w:proofErr w:type="spellEnd"/>
            <w:r w:rsidRPr="00BE14C8">
              <w:rPr>
                <w:rFonts w:ascii="Palatino Linotype" w:eastAsia="Times New Roman" w:hAnsi="Palatino Linotype" w:cs="Times New Roman"/>
              </w:rPr>
              <w:t xml:space="preserve"> et al. (2024)</w:t>
            </w:r>
          </w:p>
        </w:tc>
        <w:tc>
          <w:tcPr>
            <w:tcW w:w="0" w:type="auto"/>
            <w:hideMark/>
          </w:tcPr>
          <w:p w14:paraId="179211F1"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Google Scholar</w:t>
            </w:r>
          </w:p>
        </w:tc>
        <w:tc>
          <w:tcPr>
            <w:tcW w:w="0" w:type="auto"/>
            <w:hideMark/>
          </w:tcPr>
          <w:p w14:paraId="59C6FE06"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 (Bibliometric)</w:t>
            </w:r>
          </w:p>
        </w:tc>
        <w:tc>
          <w:tcPr>
            <w:tcW w:w="0" w:type="auto"/>
            <w:hideMark/>
          </w:tcPr>
          <w:p w14:paraId="420C2437"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Bibliometric Analysis</w:t>
            </w:r>
          </w:p>
        </w:tc>
        <w:tc>
          <w:tcPr>
            <w:tcW w:w="1638" w:type="dxa"/>
            <w:hideMark/>
          </w:tcPr>
          <w:p w14:paraId="66D62B5E"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Research Trends</w:t>
            </w:r>
          </w:p>
        </w:tc>
        <w:tc>
          <w:tcPr>
            <w:tcW w:w="2156" w:type="dxa"/>
            <w:hideMark/>
          </w:tcPr>
          <w:p w14:paraId="414AA9BD"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Mapping of AI/BIPA research intersections</w:t>
            </w:r>
          </w:p>
        </w:tc>
      </w:tr>
      <w:tr w:rsidR="00BE14C8" w:rsidRPr="00BE14C8" w14:paraId="6A1C57B6" w14:textId="77777777" w:rsidTr="00BE14C8">
        <w:trPr>
          <w:jc w:val="center"/>
        </w:trPr>
        <w:tc>
          <w:tcPr>
            <w:tcW w:w="400" w:type="dxa"/>
            <w:hideMark/>
          </w:tcPr>
          <w:p w14:paraId="0CE4457D"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14</w:t>
            </w:r>
          </w:p>
        </w:tc>
        <w:tc>
          <w:tcPr>
            <w:tcW w:w="0" w:type="auto"/>
            <w:hideMark/>
          </w:tcPr>
          <w:p w14:paraId="2C4A86EE"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Ady</w:t>
            </w:r>
            <w:proofErr w:type="spellEnd"/>
            <w:r w:rsidRPr="00BE14C8">
              <w:rPr>
                <w:rFonts w:ascii="Palatino Linotype" w:eastAsia="Times New Roman" w:hAnsi="Palatino Linotype" w:cs="Times New Roman"/>
              </w:rPr>
              <w:t xml:space="preserve"> &amp; </w:t>
            </w:r>
            <w:proofErr w:type="spellStart"/>
            <w:r w:rsidRPr="00BE14C8">
              <w:rPr>
                <w:rFonts w:ascii="Palatino Linotype" w:eastAsia="Times New Roman" w:hAnsi="Palatino Linotype" w:cs="Times New Roman"/>
              </w:rPr>
              <w:t>Mardiah</w:t>
            </w:r>
            <w:proofErr w:type="spellEnd"/>
            <w:r w:rsidRPr="00BE14C8">
              <w:rPr>
                <w:rFonts w:ascii="Palatino Linotype" w:eastAsia="Times New Roman" w:hAnsi="Palatino Linotype" w:cs="Times New Roman"/>
              </w:rPr>
              <w:t xml:space="preserve"> (2024)</w:t>
            </w:r>
          </w:p>
        </w:tc>
        <w:tc>
          <w:tcPr>
            <w:tcW w:w="0" w:type="auto"/>
            <w:hideMark/>
          </w:tcPr>
          <w:p w14:paraId="42272CFB"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Google Scholar</w:t>
            </w:r>
          </w:p>
        </w:tc>
        <w:tc>
          <w:tcPr>
            <w:tcW w:w="0" w:type="auto"/>
            <w:hideMark/>
          </w:tcPr>
          <w:p w14:paraId="73F56ED3"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Southeast Asia (Regional)</w:t>
            </w:r>
          </w:p>
        </w:tc>
        <w:tc>
          <w:tcPr>
            <w:tcW w:w="0" w:type="auto"/>
            <w:hideMark/>
          </w:tcPr>
          <w:p w14:paraId="29A98618"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Systematic Review</w:t>
            </w:r>
          </w:p>
        </w:tc>
        <w:tc>
          <w:tcPr>
            <w:tcW w:w="1638" w:type="dxa"/>
            <w:hideMark/>
          </w:tcPr>
          <w:p w14:paraId="678A20DB"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Learner Psychology</w:t>
            </w:r>
          </w:p>
        </w:tc>
        <w:tc>
          <w:tcPr>
            <w:tcW w:w="2156" w:type="dxa"/>
            <w:hideMark/>
          </w:tcPr>
          <w:p w14:paraId="391B5F1B"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Foreign language anxiety context for BIPA pedagogy</w:t>
            </w:r>
          </w:p>
        </w:tc>
      </w:tr>
      <w:tr w:rsidR="00BE14C8" w:rsidRPr="00BE14C8" w14:paraId="1BE7C684" w14:textId="77777777" w:rsidTr="00BE14C8">
        <w:trPr>
          <w:jc w:val="center"/>
        </w:trPr>
        <w:tc>
          <w:tcPr>
            <w:tcW w:w="400" w:type="dxa"/>
            <w:hideMark/>
          </w:tcPr>
          <w:p w14:paraId="5C5DD734"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15</w:t>
            </w:r>
          </w:p>
        </w:tc>
        <w:tc>
          <w:tcPr>
            <w:tcW w:w="0" w:type="auto"/>
            <w:hideMark/>
          </w:tcPr>
          <w:p w14:paraId="1715C9EC" w14:textId="77777777" w:rsidR="00FF7629" w:rsidRPr="00BE14C8" w:rsidRDefault="00FF7629" w:rsidP="00FF7629">
            <w:pPr>
              <w:jc w:val="both"/>
              <w:rPr>
                <w:rFonts w:ascii="Palatino Linotype" w:eastAsia="Times New Roman" w:hAnsi="Palatino Linotype" w:cs="Times New Roman"/>
              </w:rPr>
            </w:pPr>
            <w:proofErr w:type="spellStart"/>
            <w:r w:rsidRPr="00BE14C8">
              <w:rPr>
                <w:rFonts w:ascii="Palatino Linotype" w:eastAsia="Times New Roman" w:hAnsi="Palatino Linotype" w:cs="Times New Roman"/>
              </w:rPr>
              <w:t>Rochmawati</w:t>
            </w:r>
            <w:proofErr w:type="spellEnd"/>
            <w:r w:rsidRPr="00BE14C8">
              <w:rPr>
                <w:rFonts w:ascii="Palatino Linotype" w:eastAsia="Times New Roman" w:hAnsi="Palatino Linotype" w:cs="Times New Roman"/>
              </w:rPr>
              <w:t xml:space="preserve"> et al. (2023)</w:t>
            </w:r>
          </w:p>
        </w:tc>
        <w:tc>
          <w:tcPr>
            <w:tcW w:w="0" w:type="auto"/>
            <w:hideMark/>
          </w:tcPr>
          <w:p w14:paraId="39F02905"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Google Scholar</w:t>
            </w:r>
          </w:p>
        </w:tc>
        <w:tc>
          <w:tcPr>
            <w:tcW w:w="0" w:type="auto"/>
            <w:hideMark/>
          </w:tcPr>
          <w:p w14:paraId="4D6266D4"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Indonesia (Methodology)</w:t>
            </w:r>
          </w:p>
        </w:tc>
        <w:tc>
          <w:tcPr>
            <w:tcW w:w="0" w:type="auto"/>
            <w:hideMark/>
          </w:tcPr>
          <w:p w14:paraId="530FADD4"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Systematic Review</w:t>
            </w:r>
          </w:p>
        </w:tc>
        <w:tc>
          <w:tcPr>
            <w:tcW w:w="1638" w:type="dxa"/>
            <w:hideMark/>
          </w:tcPr>
          <w:p w14:paraId="1B8C7D8D"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Digital Learning Methods</w:t>
            </w:r>
          </w:p>
        </w:tc>
        <w:tc>
          <w:tcPr>
            <w:tcW w:w="2156" w:type="dxa"/>
            <w:hideMark/>
          </w:tcPr>
          <w:p w14:paraId="77B95466" w14:textId="77777777" w:rsidR="00FF7629" w:rsidRPr="00BE14C8" w:rsidRDefault="00FF7629" w:rsidP="00FF7629">
            <w:pPr>
              <w:jc w:val="both"/>
              <w:rPr>
                <w:rFonts w:ascii="Palatino Linotype" w:eastAsia="Times New Roman" w:hAnsi="Palatino Linotype" w:cs="Times New Roman"/>
              </w:rPr>
            </w:pPr>
            <w:r w:rsidRPr="00BE14C8">
              <w:rPr>
                <w:rFonts w:ascii="Palatino Linotype" w:eastAsia="Times New Roman" w:hAnsi="Palatino Linotype" w:cs="Times New Roman"/>
              </w:rPr>
              <w:t>Self-regulated digital learning framework</w:t>
            </w:r>
          </w:p>
        </w:tc>
      </w:tr>
    </w:tbl>
    <w:p w14:paraId="25B77A5D" w14:textId="77777777" w:rsidR="00FF7629" w:rsidRDefault="00FF7629" w:rsidP="00FF7629">
      <w:pPr>
        <w:pStyle w:val="Alishlah31text"/>
        <w:ind w:firstLine="0"/>
        <w:jc w:val="center"/>
      </w:pPr>
    </w:p>
    <w:p w14:paraId="0ADE1569" w14:textId="77777777" w:rsidR="00FF7629" w:rsidRDefault="00BE14C8" w:rsidP="00BE14C8">
      <w:pPr>
        <w:pStyle w:val="Alishlah21heading1"/>
        <w:numPr>
          <w:ilvl w:val="0"/>
          <w:numId w:val="0"/>
        </w:numPr>
      </w:pPr>
      <w:r w:rsidRPr="00BE14C8">
        <w:t>Quality Assessment of Included Studies</w:t>
      </w:r>
    </w:p>
    <w:p w14:paraId="04E80589" w14:textId="77777777" w:rsidR="00BE14C8" w:rsidRDefault="00BE14C8" w:rsidP="00BE14C8">
      <w:pPr>
        <w:pStyle w:val="Alishlah31text"/>
      </w:pPr>
      <w:r w:rsidRPr="00BE14C8">
        <w:rPr>
          <w:rFonts w:hint="eastAsia"/>
        </w:rPr>
        <w:t>Using the MMAT (2018), the methodological quality of the 15 included studies was appraised. Ten studies were rated as high quality (≥4 criteria met), four as medium (3 criteria met), and one as low (2 criteria met). Common limitations included small sample</w:t>
      </w:r>
      <w:r w:rsidRPr="00BE14C8">
        <w:t xml:space="preserve"> sizes (in qualitative studies) and lack of longitudinal design. Nonetheless, all studies provided valuable descriptive insights into BIPA training models.</w:t>
      </w:r>
    </w:p>
    <w:p w14:paraId="54290893" w14:textId="77777777" w:rsidR="00BE14C8" w:rsidRDefault="00BE14C8" w:rsidP="00BE14C8">
      <w:pPr>
        <w:pStyle w:val="Alishlah21heading1"/>
        <w:numPr>
          <w:ilvl w:val="0"/>
          <w:numId w:val="0"/>
        </w:numPr>
      </w:pPr>
      <w:r w:rsidRPr="00BE14C8">
        <w:t>Results for Research Question 1: Predominant Models and Strategies (2009-2024)</w:t>
      </w:r>
    </w:p>
    <w:p w14:paraId="453AC4E5" w14:textId="77777777" w:rsidR="00BE14C8" w:rsidRDefault="00BE14C8" w:rsidP="00BE14C8">
      <w:pPr>
        <w:pStyle w:val="Alishlah31text"/>
      </w:pPr>
      <w:r>
        <w:t xml:space="preserve">The analysis revealed four predominant, interconnected clusters of training models and strategies that have evolved over the review period. The first cluster centers on curriculum and pedagogical standardization, notably through the adaptation of international frameworks. A significant development documented by </w:t>
      </w:r>
      <w:proofErr w:type="spellStart"/>
      <w:r>
        <w:t>Muliastuti</w:t>
      </w:r>
      <w:proofErr w:type="spellEnd"/>
      <w:r>
        <w:t xml:space="preserve"> et al. (2023) is the systematic "tailoring of the Common European Framework of Reference (CEFR) to BISOL (Bahasa Indonesia for Speakers of Other Languages)" (p. 590). This model provides a standardized yet flexible structure for competency-based material development, addressing the previously noted lack of a unified national curriculum framework. </w:t>
      </w:r>
      <w:proofErr w:type="spellStart"/>
      <w:r>
        <w:t>Ardiyanti's</w:t>
      </w:r>
      <w:proofErr w:type="spellEnd"/>
      <w:r>
        <w:t xml:space="preserve"> (2024) systematic </w:t>
      </w:r>
      <w:r>
        <w:lastRenderedPageBreak/>
        <w:t xml:space="preserve">review of the 2018-2023 BIPA curriculum confirms this trend, identifying that while the government-issued curriculum provides </w:t>
      </w:r>
      <w:proofErr w:type="spellStart"/>
      <w:proofErr w:type="gramStart"/>
      <w:r>
        <w:t>a</w:t>
      </w:r>
      <w:proofErr w:type="spellEnd"/>
      <w:proofErr w:type="gramEnd"/>
      <w:r>
        <w:t xml:space="preserve"> essential "teaching guideline," its main weakness is a lack of contextual adaptability, which models like the CEFR adaptation seek to address.</w:t>
      </w:r>
    </w:p>
    <w:p w14:paraId="7AA068B1" w14:textId="77777777" w:rsidR="00BE14C8" w:rsidRDefault="00BE14C8" w:rsidP="00BE14C8">
      <w:pPr>
        <w:pStyle w:val="Alishlah31text"/>
      </w:pPr>
      <w:r>
        <w:t xml:space="preserve">The second cluster involves technological and digital integration models, which gained pronounced emphasis post-2020. These range from specific tools to broader pedagogical frameworks. </w:t>
      </w:r>
      <w:proofErr w:type="spellStart"/>
      <w:r>
        <w:t>Pratama</w:t>
      </w:r>
      <w:proofErr w:type="spellEnd"/>
      <w:r>
        <w:t xml:space="preserve"> et al. (2022) developed and evaluated a model using "Augmented Reality (AR) to track Javanese cultural heritage," explicitly linking this technology to BIPA learning outcomes by providing immersive cultural context (p. 1). At a more comprehensive level, </w:t>
      </w:r>
      <w:proofErr w:type="spellStart"/>
      <w:r>
        <w:t>Kristiawan</w:t>
      </w:r>
      <w:proofErr w:type="spellEnd"/>
      <w:r>
        <w:t xml:space="preserve"> et al. (2022) documented a professional development model focused on building teachers' "Technological Pedagogical Content Knowledge (TPACK)" through participatory action research in Islamic schools. Their study found that this intervention enhanced teacher agency in material development, with one teacher noting, "I now feel confident to create digital materials that integrate our local Islamic values" (p. 35). </w:t>
      </w:r>
      <w:proofErr w:type="spellStart"/>
      <w:r>
        <w:t>Rochmawati</w:t>
      </w:r>
      <w:proofErr w:type="spellEnd"/>
      <w:r>
        <w:t xml:space="preserve"> et al.'s (2023) review further supports the efficacy of "self-regulated learning approach through digital learning media" as a strategic framework for structuring such technology-enhanced instruction (p. 1).</w:t>
      </w:r>
    </w:p>
    <w:p w14:paraId="76DD56E4" w14:textId="77777777" w:rsidR="00BE14C8" w:rsidRDefault="00BE14C8" w:rsidP="00BE14C8">
      <w:pPr>
        <w:pStyle w:val="Alishlah31text"/>
      </w:pPr>
      <w:r>
        <w:t xml:space="preserve">Third, program development and management models emerged as critical, especially for institutionalizing BIPA. </w:t>
      </w:r>
      <w:proofErr w:type="spellStart"/>
      <w:r>
        <w:t>Mufidah</w:t>
      </w:r>
      <w:proofErr w:type="spellEnd"/>
      <w:r>
        <w:t xml:space="preserve"> and Sari (2022) conducted a detailed needs analysis using Morrison's theory to justify establishing a new BIPA study program at UIN </w:t>
      </w:r>
      <w:proofErr w:type="spellStart"/>
      <w:r>
        <w:t>Antasari</w:t>
      </w:r>
      <w:proofErr w:type="spellEnd"/>
      <w:r>
        <w:t xml:space="preserve"> Banjarmasin. Their survey of 173 prospective students, 24 teachers, and 104 practitioners found that "graduates of this degree may become professional educators... as well as Indonesian for foreign speakers with distinctive qualities" (p. 333), validating a market-responsive program development model. Similarly, </w:t>
      </w:r>
      <w:proofErr w:type="spellStart"/>
      <w:r>
        <w:t>Isnaniah</w:t>
      </w:r>
      <w:proofErr w:type="spellEnd"/>
      <w:r>
        <w:t xml:space="preserve"> and </w:t>
      </w:r>
      <w:proofErr w:type="spellStart"/>
      <w:r>
        <w:t>Mustofa</w:t>
      </w:r>
      <w:proofErr w:type="spellEnd"/>
      <w:r>
        <w:t xml:space="preserve"> (2020) analyzed the "management of Islamic education on Indonesian language learning for foreign speaker program," outlining a model that integrates religious values into administrative and curricular structures, creating a distinctive niche program identity.</w:t>
      </w:r>
    </w:p>
    <w:p w14:paraId="245B6E21" w14:textId="77777777" w:rsidR="00FF7629" w:rsidRDefault="00BE14C8" w:rsidP="00BE14C8">
      <w:pPr>
        <w:pStyle w:val="Alishlah31text"/>
      </w:pPr>
      <w:r>
        <w:t xml:space="preserve">The fourth cluster encompasses professional and intercultural exchange models. The Fulbright Foreign Language Teaching Assistant (FLTA) program, analyzed by </w:t>
      </w:r>
      <w:proofErr w:type="spellStart"/>
      <w:r>
        <w:t>Velásquez-Hoyos</w:t>
      </w:r>
      <w:proofErr w:type="spellEnd"/>
      <w:r>
        <w:t xml:space="preserve"> and Martínez-Burgos (2023), serves as a key international pipeline. Through narrative inquiry with former participants, they found the program significantly impacted teaching methodologies, with one participant stating, "After being a FLTA, I became more aware of my teaching practices by implementing and adapting different teaching methodologies" (p. 13). This model prioritizes immersive intercultural experience as a core component of teacher development.</w:t>
      </w:r>
    </w:p>
    <w:p w14:paraId="629CA0DB" w14:textId="77777777" w:rsidR="00BE14C8" w:rsidRDefault="00BE14C8" w:rsidP="00BE14C8">
      <w:pPr>
        <w:pStyle w:val="Alishlah31text"/>
        <w:ind w:firstLine="0"/>
      </w:pPr>
    </w:p>
    <w:p w14:paraId="2DD3EC98" w14:textId="77777777" w:rsidR="00BE14C8" w:rsidRDefault="00BE14C8" w:rsidP="00BE14C8">
      <w:pPr>
        <w:pStyle w:val="Alishlah31text"/>
        <w:ind w:firstLine="0"/>
        <w:jc w:val="center"/>
      </w:pPr>
      <w:r w:rsidRPr="00BE14C8">
        <w:rPr>
          <w:b/>
          <w:bCs/>
        </w:rPr>
        <w:t>Table 3</w:t>
      </w:r>
      <w:r w:rsidRPr="00BE14C8">
        <w:t>. Thematic Synthesis of BIPA Training Model Clusters (2009–2024)</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796"/>
        <w:gridCol w:w="2060"/>
        <w:gridCol w:w="1850"/>
        <w:gridCol w:w="1388"/>
        <w:gridCol w:w="2098"/>
      </w:tblGrid>
      <w:tr w:rsidR="00BE14C8" w:rsidRPr="00BE14C8" w14:paraId="2BAB49A2" w14:textId="77777777" w:rsidTr="001E2443">
        <w:trPr>
          <w:jc w:val="center"/>
        </w:trPr>
        <w:tc>
          <w:tcPr>
            <w:tcW w:w="0" w:type="auto"/>
            <w:vAlign w:val="center"/>
            <w:hideMark/>
          </w:tcPr>
          <w:p w14:paraId="36284070" w14:textId="77777777" w:rsidR="00BE14C8" w:rsidRPr="00BE14C8" w:rsidRDefault="00BE14C8" w:rsidP="00A2418C">
            <w:pPr>
              <w:shd w:val="clear" w:color="auto" w:fill="FFFFFF"/>
              <w:spacing w:line="276" w:lineRule="auto"/>
              <w:jc w:val="center"/>
              <w:rPr>
                <w:rFonts w:ascii="Palatino Linotype" w:eastAsia="Times New Roman" w:hAnsi="Palatino Linotype" w:cs="Times New Roman"/>
                <w:b/>
                <w:bCs/>
                <w:color w:val="0F1115"/>
                <w:szCs w:val="24"/>
              </w:rPr>
            </w:pPr>
            <w:r w:rsidRPr="00BE14C8">
              <w:rPr>
                <w:rFonts w:ascii="Palatino Linotype" w:eastAsia="Times New Roman" w:hAnsi="Palatino Linotype" w:cs="Times New Roman"/>
                <w:b/>
                <w:bCs/>
                <w:color w:val="0F1115"/>
                <w:szCs w:val="24"/>
              </w:rPr>
              <w:t>Cluster</w:t>
            </w:r>
          </w:p>
        </w:tc>
        <w:tc>
          <w:tcPr>
            <w:tcW w:w="0" w:type="auto"/>
            <w:vAlign w:val="center"/>
            <w:hideMark/>
          </w:tcPr>
          <w:p w14:paraId="413CCB86" w14:textId="77777777" w:rsidR="00BE14C8" w:rsidRPr="00BE14C8" w:rsidRDefault="00BE14C8" w:rsidP="00A2418C">
            <w:pPr>
              <w:shd w:val="clear" w:color="auto" w:fill="FFFFFF"/>
              <w:spacing w:line="276" w:lineRule="auto"/>
              <w:jc w:val="center"/>
              <w:rPr>
                <w:rFonts w:ascii="Palatino Linotype" w:eastAsia="Times New Roman" w:hAnsi="Palatino Linotype" w:cs="Times New Roman"/>
                <w:b/>
                <w:bCs/>
                <w:color w:val="0F1115"/>
                <w:szCs w:val="24"/>
              </w:rPr>
            </w:pPr>
            <w:r w:rsidRPr="00BE14C8">
              <w:rPr>
                <w:rFonts w:ascii="Palatino Linotype" w:eastAsia="Times New Roman" w:hAnsi="Palatino Linotype" w:cs="Times New Roman"/>
                <w:b/>
                <w:bCs/>
                <w:color w:val="0F1115"/>
                <w:szCs w:val="24"/>
              </w:rPr>
              <w:t>Key Strategies</w:t>
            </w:r>
          </w:p>
        </w:tc>
        <w:tc>
          <w:tcPr>
            <w:tcW w:w="0" w:type="auto"/>
            <w:vAlign w:val="center"/>
            <w:hideMark/>
          </w:tcPr>
          <w:p w14:paraId="5458AE6B" w14:textId="77777777" w:rsidR="00BE14C8" w:rsidRPr="00BE14C8" w:rsidRDefault="00BE14C8" w:rsidP="00A2418C">
            <w:pPr>
              <w:shd w:val="clear" w:color="auto" w:fill="FFFFFF"/>
              <w:spacing w:line="276" w:lineRule="auto"/>
              <w:jc w:val="center"/>
              <w:rPr>
                <w:rFonts w:ascii="Palatino Linotype" w:eastAsia="Times New Roman" w:hAnsi="Palatino Linotype" w:cs="Times New Roman"/>
                <w:b/>
                <w:bCs/>
                <w:color w:val="0F1115"/>
                <w:szCs w:val="24"/>
              </w:rPr>
            </w:pPr>
            <w:r w:rsidRPr="00BE14C8">
              <w:rPr>
                <w:rFonts w:ascii="Palatino Linotype" w:eastAsia="Times New Roman" w:hAnsi="Palatino Linotype" w:cs="Times New Roman"/>
                <w:b/>
                <w:bCs/>
                <w:color w:val="0F1115"/>
                <w:szCs w:val="24"/>
              </w:rPr>
              <w:t>Example Studies</w:t>
            </w:r>
          </w:p>
        </w:tc>
        <w:tc>
          <w:tcPr>
            <w:tcW w:w="0" w:type="auto"/>
            <w:vAlign w:val="center"/>
            <w:hideMark/>
          </w:tcPr>
          <w:p w14:paraId="6928176F" w14:textId="77777777" w:rsidR="00BE14C8" w:rsidRPr="00BE14C8" w:rsidRDefault="00BE14C8" w:rsidP="00A2418C">
            <w:pPr>
              <w:shd w:val="clear" w:color="auto" w:fill="FFFFFF"/>
              <w:spacing w:line="276" w:lineRule="auto"/>
              <w:ind w:hanging="23"/>
              <w:jc w:val="center"/>
              <w:rPr>
                <w:rFonts w:ascii="Palatino Linotype" w:eastAsia="Times New Roman" w:hAnsi="Palatino Linotype" w:cs="Times New Roman"/>
                <w:b/>
                <w:bCs/>
                <w:color w:val="0F1115"/>
                <w:szCs w:val="24"/>
              </w:rPr>
            </w:pPr>
            <w:r w:rsidRPr="00BE14C8">
              <w:rPr>
                <w:rFonts w:ascii="Palatino Linotype" w:eastAsia="Times New Roman" w:hAnsi="Palatino Linotype" w:cs="Times New Roman"/>
                <w:b/>
                <w:bCs/>
                <w:color w:val="0F1115"/>
                <w:szCs w:val="24"/>
              </w:rPr>
              <w:t>Primary Context</w:t>
            </w:r>
          </w:p>
        </w:tc>
        <w:tc>
          <w:tcPr>
            <w:tcW w:w="0" w:type="auto"/>
            <w:vAlign w:val="center"/>
            <w:hideMark/>
          </w:tcPr>
          <w:p w14:paraId="4217F1FD" w14:textId="77777777" w:rsidR="00BE14C8" w:rsidRPr="00BE14C8" w:rsidRDefault="00BE14C8" w:rsidP="00A2418C">
            <w:pPr>
              <w:shd w:val="clear" w:color="auto" w:fill="FFFFFF"/>
              <w:spacing w:line="276" w:lineRule="auto"/>
              <w:jc w:val="center"/>
              <w:rPr>
                <w:rFonts w:ascii="Palatino Linotype" w:eastAsia="Times New Roman" w:hAnsi="Palatino Linotype" w:cs="Times New Roman"/>
                <w:b/>
                <w:bCs/>
                <w:color w:val="0F1115"/>
                <w:szCs w:val="24"/>
              </w:rPr>
            </w:pPr>
            <w:r w:rsidRPr="00BE14C8">
              <w:rPr>
                <w:rFonts w:ascii="Palatino Linotype" w:eastAsia="Times New Roman" w:hAnsi="Palatino Linotype" w:cs="Times New Roman"/>
                <w:b/>
                <w:bCs/>
                <w:color w:val="0F1115"/>
                <w:szCs w:val="24"/>
              </w:rPr>
              <w:t>Adaptation Note</w:t>
            </w:r>
          </w:p>
        </w:tc>
      </w:tr>
      <w:tr w:rsidR="00BE14C8" w:rsidRPr="00BE14C8" w14:paraId="68369C52" w14:textId="77777777" w:rsidTr="001E2443">
        <w:trPr>
          <w:jc w:val="center"/>
        </w:trPr>
        <w:tc>
          <w:tcPr>
            <w:tcW w:w="0" w:type="auto"/>
            <w:vAlign w:val="center"/>
            <w:hideMark/>
          </w:tcPr>
          <w:p w14:paraId="653493B5"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b/>
                <w:bCs/>
                <w:color w:val="0F1115"/>
                <w:szCs w:val="24"/>
              </w:rPr>
              <w:t>Curriculum Standardization</w:t>
            </w:r>
          </w:p>
        </w:tc>
        <w:tc>
          <w:tcPr>
            <w:tcW w:w="0" w:type="auto"/>
            <w:vAlign w:val="center"/>
            <w:hideMark/>
          </w:tcPr>
          <w:p w14:paraId="2D136803"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CEFR adaptation, BISOL framework, competency-based design</w:t>
            </w:r>
          </w:p>
        </w:tc>
        <w:tc>
          <w:tcPr>
            <w:tcW w:w="0" w:type="auto"/>
            <w:vAlign w:val="center"/>
            <w:hideMark/>
          </w:tcPr>
          <w:p w14:paraId="5C8A0C16"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proofErr w:type="spellStart"/>
            <w:r w:rsidRPr="00BE14C8">
              <w:rPr>
                <w:rFonts w:ascii="Palatino Linotype" w:eastAsia="Times New Roman" w:hAnsi="Palatino Linotype" w:cs="Times New Roman"/>
                <w:color w:val="0F1115"/>
                <w:szCs w:val="24"/>
              </w:rPr>
              <w:t>Muliastuti</w:t>
            </w:r>
            <w:proofErr w:type="spellEnd"/>
            <w:r w:rsidRPr="00BE14C8">
              <w:rPr>
                <w:rFonts w:ascii="Palatino Linotype" w:eastAsia="Times New Roman" w:hAnsi="Palatino Linotype" w:cs="Times New Roman"/>
                <w:color w:val="0F1115"/>
                <w:szCs w:val="24"/>
              </w:rPr>
              <w:t xml:space="preserve"> et al. (2023); </w:t>
            </w:r>
            <w:proofErr w:type="spellStart"/>
            <w:r w:rsidRPr="00BE14C8">
              <w:rPr>
                <w:rFonts w:ascii="Palatino Linotype" w:eastAsia="Times New Roman" w:hAnsi="Palatino Linotype" w:cs="Times New Roman"/>
                <w:color w:val="0F1115"/>
                <w:szCs w:val="24"/>
              </w:rPr>
              <w:t>Ardiyanti</w:t>
            </w:r>
            <w:proofErr w:type="spellEnd"/>
            <w:r w:rsidRPr="00BE14C8">
              <w:rPr>
                <w:rFonts w:ascii="Palatino Linotype" w:eastAsia="Times New Roman" w:hAnsi="Palatino Linotype" w:cs="Times New Roman"/>
                <w:color w:val="0F1115"/>
                <w:szCs w:val="24"/>
              </w:rPr>
              <w:t xml:space="preserve"> (2024)</w:t>
            </w:r>
          </w:p>
        </w:tc>
        <w:tc>
          <w:tcPr>
            <w:tcW w:w="0" w:type="auto"/>
            <w:vAlign w:val="center"/>
            <w:hideMark/>
          </w:tcPr>
          <w:p w14:paraId="36FE8F65" w14:textId="77777777" w:rsidR="00BE14C8" w:rsidRPr="00BE14C8" w:rsidRDefault="00BE14C8" w:rsidP="001E2443">
            <w:pPr>
              <w:shd w:val="clear" w:color="auto" w:fill="FFFFFF"/>
              <w:spacing w:line="276" w:lineRule="auto"/>
              <w:ind w:hanging="23"/>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SE Asia, Indonesia</w:t>
            </w:r>
          </w:p>
        </w:tc>
        <w:tc>
          <w:tcPr>
            <w:tcW w:w="0" w:type="auto"/>
            <w:vAlign w:val="center"/>
            <w:hideMark/>
          </w:tcPr>
          <w:p w14:paraId="5ECFE2A4"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Tailored to local competency needs; addresses lack of national curriculum flexibility</w:t>
            </w:r>
          </w:p>
        </w:tc>
      </w:tr>
      <w:tr w:rsidR="00BE14C8" w:rsidRPr="00BE14C8" w14:paraId="69619CC9" w14:textId="77777777" w:rsidTr="001E2443">
        <w:trPr>
          <w:jc w:val="center"/>
        </w:trPr>
        <w:tc>
          <w:tcPr>
            <w:tcW w:w="0" w:type="auto"/>
            <w:vAlign w:val="center"/>
            <w:hideMark/>
          </w:tcPr>
          <w:p w14:paraId="1217E177"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b/>
                <w:bCs/>
                <w:color w:val="0F1115"/>
                <w:szCs w:val="24"/>
              </w:rPr>
              <w:t>Technological Integration</w:t>
            </w:r>
          </w:p>
        </w:tc>
        <w:tc>
          <w:tcPr>
            <w:tcW w:w="0" w:type="auto"/>
            <w:vAlign w:val="center"/>
            <w:hideMark/>
          </w:tcPr>
          <w:p w14:paraId="39314662"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Augmented Reality (AR), TPACK, digital self-regulated learning, AI-enhanced tools</w:t>
            </w:r>
          </w:p>
        </w:tc>
        <w:tc>
          <w:tcPr>
            <w:tcW w:w="0" w:type="auto"/>
            <w:vAlign w:val="center"/>
            <w:hideMark/>
          </w:tcPr>
          <w:p w14:paraId="3265E143"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proofErr w:type="spellStart"/>
            <w:r w:rsidRPr="00BE14C8">
              <w:rPr>
                <w:rFonts w:ascii="Palatino Linotype" w:eastAsia="Times New Roman" w:hAnsi="Palatino Linotype" w:cs="Times New Roman"/>
                <w:color w:val="0F1115"/>
                <w:szCs w:val="24"/>
              </w:rPr>
              <w:t>Pratama</w:t>
            </w:r>
            <w:proofErr w:type="spellEnd"/>
            <w:r w:rsidRPr="00BE14C8">
              <w:rPr>
                <w:rFonts w:ascii="Palatino Linotype" w:eastAsia="Times New Roman" w:hAnsi="Palatino Linotype" w:cs="Times New Roman"/>
                <w:color w:val="0F1115"/>
                <w:szCs w:val="24"/>
              </w:rPr>
              <w:t xml:space="preserve"> et al. (2022); </w:t>
            </w:r>
            <w:proofErr w:type="spellStart"/>
            <w:r w:rsidRPr="00BE14C8">
              <w:rPr>
                <w:rFonts w:ascii="Palatino Linotype" w:eastAsia="Times New Roman" w:hAnsi="Palatino Linotype" w:cs="Times New Roman"/>
                <w:color w:val="0F1115"/>
                <w:szCs w:val="24"/>
              </w:rPr>
              <w:t>Kristiawan</w:t>
            </w:r>
            <w:proofErr w:type="spellEnd"/>
            <w:r w:rsidRPr="00BE14C8">
              <w:rPr>
                <w:rFonts w:ascii="Palatino Linotype" w:eastAsia="Times New Roman" w:hAnsi="Palatino Linotype" w:cs="Times New Roman"/>
                <w:color w:val="0F1115"/>
                <w:szCs w:val="24"/>
              </w:rPr>
              <w:t xml:space="preserve"> et al. (2022); </w:t>
            </w:r>
            <w:proofErr w:type="spellStart"/>
            <w:r w:rsidRPr="00BE14C8">
              <w:rPr>
                <w:rFonts w:ascii="Palatino Linotype" w:eastAsia="Times New Roman" w:hAnsi="Palatino Linotype" w:cs="Times New Roman"/>
                <w:color w:val="0F1115"/>
                <w:szCs w:val="24"/>
              </w:rPr>
              <w:t>Rochmawati</w:t>
            </w:r>
            <w:proofErr w:type="spellEnd"/>
            <w:r w:rsidRPr="00BE14C8">
              <w:rPr>
                <w:rFonts w:ascii="Palatino Linotype" w:eastAsia="Times New Roman" w:hAnsi="Palatino Linotype" w:cs="Times New Roman"/>
                <w:color w:val="0F1115"/>
                <w:szCs w:val="24"/>
              </w:rPr>
              <w:t xml:space="preserve"> et al. (2023)</w:t>
            </w:r>
          </w:p>
        </w:tc>
        <w:tc>
          <w:tcPr>
            <w:tcW w:w="0" w:type="auto"/>
            <w:vAlign w:val="center"/>
            <w:hideMark/>
          </w:tcPr>
          <w:p w14:paraId="097FA202" w14:textId="77777777" w:rsidR="00BE14C8" w:rsidRPr="00BE14C8" w:rsidRDefault="00BE14C8" w:rsidP="001E2443">
            <w:pPr>
              <w:shd w:val="clear" w:color="auto" w:fill="FFFFFF"/>
              <w:spacing w:line="276" w:lineRule="auto"/>
              <w:ind w:hanging="23"/>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SE Asia &amp; U.S.</w:t>
            </w:r>
          </w:p>
        </w:tc>
        <w:tc>
          <w:tcPr>
            <w:tcW w:w="0" w:type="auto"/>
            <w:vAlign w:val="center"/>
            <w:hideMark/>
          </w:tcPr>
          <w:p w14:paraId="0076D1F7"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Accelerated post-2020; context-driven tool selection (e.g., AR for culture, TPACK for teacher agency)</w:t>
            </w:r>
          </w:p>
        </w:tc>
      </w:tr>
      <w:tr w:rsidR="00BE14C8" w:rsidRPr="00BE14C8" w14:paraId="346A8996" w14:textId="77777777" w:rsidTr="001E2443">
        <w:trPr>
          <w:jc w:val="center"/>
        </w:trPr>
        <w:tc>
          <w:tcPr>
            <w:tcW w:w="0" w:type="auto"/>
            <w:vAlign w:val="center"/>
            <w:hideMark/>
          </w:tcPr>
          <w:p w14:paraId="60C8C3BA"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b/>
                <w:bCs/>
                <w:color w:val="0F1115"/>
                <w:szCs w:val="24"/>
              </w:rPr>
              <w:lastRenderedPageBreak/>
              <w:t>Program Development</w:t>
            </w:r>
          </w:p>
        </w:tc>
        <w:tc>
          <w:tcPr>
            <w:tcW w:w="0" w:type="auto"/>
            <w:vAlign w:val="center"/>
            <w:hideMark/>
          </w:tcPr>
          <w:p w14:paraId="1109B3C7"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Needs analysis, Islamic-integrated management, market-responsive program design</w:t>
            </w:r>
          </w:p>
        </w:tc>
        <w:tc>
          <w:tcPr>
            <w:tcW w:w="0" w:type="auto"/>
            <w:vAlign w:val="center"/>
            <w:hideMark/>
          </w:tcPr>
          <w:p w14:paraId="3C42A0C6"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proofErr w:type="spellStart"/>
            <w:r w:rsidRPr="00BE14C8">
              <w:rPr>
                <w:rFonts w:ascii="Palatino Linotype" w:eastAsia="Times New Roman" w:hAnsi="Palatino Linotype" w:cs="Times New Roman"/>
                <w:color w:val="0F1115"/>
                <w:szCs w:val="24"/>
              </w:rPr>
              <w:t>Mufidah</w:t>
            </w:r>
            <w:proofErr w:type="spellEnd"/>
            <w:r w:rsidRPr="00BE14C8">
              <w:rPr>
                <w:rFonts w:ascii="Palatino Linotype" w:eastAsia="Times New Roman" w:hAnsi="Palatino Linotype" w:cs="Times New Roman"/>
                <w:color w:val="0F1115"/>
                <w:szCs w:val="24"/>
              </w:rPr>
              <w:t xml:space="preserve"> &amp; Sari (2022); </w:t>
            </w:r>
            <w:proofErr w:type="spellStart"/>
            <w:r w:rsidRPr="00BE14C8">
              <w:rPr>
                <w:rFonts w:ascii="Palatino Linotype" w:eastAsia="Times New Roman" w:hAnsi="Palatino Linotype" w:cs="Times New Roman"/>
                <w:color w:val="0F1115"/>
                <w:szCs w:val="24"/>
              </w:rPr>
              <w:t>Isnaniah</w:t>
            </w:r>
            <w:proofErr w:type="spellEnd"/>
            <w:r w:rsidRPr="00BE14C8">
              <w:rPr>
                <w:rFonts w:ascii="Palatino Linotype" w:eastAsia="Times New Roman" w:hAnsi="Palatino Linotype" w:cs="Times New Roman"/>
                <w:color w:val="0F1115"/>
                <w:szCs w:val="24"/>
              </w:rPr>
              <w:t xml:space="preserve"> &amp; </w:t>
            </w:r>
            <w:proofErr w:type="spellStart"/>
            <w:r w:rsidRPr="00BE14C8">
              <w:rPr>
                <w:rFonts w:ascii="Palatino Linotype" w:eastAsia="Times New Roman" w:hAnsi="Palatino Linotype" w:cs="Times New Roman"/>
                <w:color w:val="0F1115"/>
                <w:szCs w:val="24"/>
              </w:rPr>
              <w:t>Mustofa</w:t>
            </w:r>
            <w:proofErr w:type="spellEnd"/>
            <w:r w:rsidRPr="00BE14C8">
              <w:rPr>
                <w:rFonts w:ascii="Palatino Linotype" w:eastAsia="Times New Roman" w:hAnsi="Palatino Linotype" w:cs="Times New Roman"/>
                <w:color w:val="0F1115"/>
                <w:szCs w:val="24"/>
              </w:rPr>
              <w:t xml:space="preserve"> (2020)</w:t>
            </w:r>
          </w:p>
        </w:tc>
        <w:tc>
          <w:tcPr>
            <w:tcW w:w="0" w:type="auto"/>
            <w:vAlign w:val="center"/>
            <w:hideMark/>
          </w:tcPr>
          <w:p w14:paraId="631EB0B5" w14:textId="77777777" w:rsidR="00BE14C8" w:rsidRPr="00BE14C8" w:rsidRDefault="00BE14C8" w:rsidP="001E2443">
            <w:pPr>
              <w:shd w:val="clear" w:color="auto" w:fill="FFFFFF"/>
              <w:spacing w:line="276" w:lineRule="auto"/>
              <w:ind w:hanging="23"/>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SE Asia (Indonesia)</w:t>
            </w:r>
          </w:p>
        </w:tc>
        <w:tc>
          <w:tcPr>
            <w:tcW w:w="0" w:type="auto"/>
            <w:vAlign w:val="center"/>
            <w:hideMark/>
          </w:tcPr>
          <w:p w14:paraId="2B6DF55C"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Institutional capacity-building; niche program identity (e.g., Islamic values integration)</w:t>
            </w:r>
          </w:p>
        </w:tc>
      </w:tr>
      <w:tr w:rsidR="00BE14C8" w:rsidRPr="00BE14C8" w14:paraId="04F39C02" w14:textId="77777777" w:rsidTr="001E2443">
        <w:trPr>
          <w:jc w:val="center"/>
        </w:trPr>
        <w:tc>
          <w:tcPr>
            <w:tcW w:w="0" w:type="auto"/>
            <w:vAlign w:val="center"/>
            <w:hideMark/>
          </w:tcPr>
          <w:p w14:paraId="762D1E0C"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b/>
                <w:bCs/>
                <w:color w:val="0F1115"/>
                <w:szCs w:val="24"/>
              </w:rPr>
              <w:t>Professional Exchange</w:t>
            </w:r>
          </w:p>
        </w:tc>
        <w:tc>
          <w:tcPr>
            <w:tcW w:w="0" w:type="auto"/>
            <w:vAlign w:val="center"/>
            <w:hideMark/>
          </w:tcPr>
          <w:p w14:paraId="3BE6BB67"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Fulbright FLTA, intercultural teacher training, transnational partnerships</w:t>
            </w:r>
          </w:p>
        </w:tc>
        <w:tc>
          <w:tcPr>
            <w:tcW w:w="0" w:type="auto"/>
            <w:vAlign w:val="center"/>
            <w:hideMark/>
          </w:tcPr>
          <w:p w14:paraId="1DB040CD"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proofErr w:type="spellStart"/>
            <w:r w:rsidRPr="00BE14C8">
              <w:rPr>
                <w:rFonts w:ascii="Palatino Linotype" w:eastAsia="Times New Roman" w:hAnsi="Palatino Linotype" w:cs="Times New Roman"/>
                <w:color w:val="0F1115"/>
                <w:szCs w:val="24"/>
              </w:rPr>
              <w:t>Velásquez-Hoyos</w:t>
            </w:r>
            <w:proofErr w:type="spellEnd"/>
            <w:r w:rsidRPr="00BE14C8">
              <w:rPr>
                <w:rFonts w:ascii="Palatino Linotype" w:eastAsia="Times New Roman" w:hAnsi="Palatino Linotype" w:cs="Times New Roman"/>
                <w:color w:val="0F1115"/>
                <w:szCs w:val="24"/>
              </w:rPr>
              <w:t xml:space="preserve"> &amp; Martínez-Burgos (2023); Wong &amp; Hill (2023)</w:t>
            </w:r>
          </w:p>
        </w:tc>
        <w:tc>
          <w:tcPr>
            <w:tcW w:w="0" w:type="auto"/>
            <w:vAlign w:val="center"/>
            <w:hideMark/>
          </w:tcPr>
          <w:p w14:paraId="0DB2BEE9" w14:textId="77777777" w:rsidR="00BE14C8" w:rsidRPr="00BE14C8" w:rsidRDefault="00BE14C8" w:rsidP="001E2443">
            <w:pPr>
              <w:shd w:val="clear" w:color="auto" w:fill="FFFFFF"/>
              <w:spacing w:line="276" w:lineRule="auto"/>
              <w:ind w:hanging="23"/>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United States (LCTL context)</w:t>
            </w:r>
          </w:p>
        </w:tc>
        <w:tc>
          <w:tcPr>
            <w:tcW w:w="0" w:type="auto"/>
            <w:vAlign w:val="center"/>
            <w:hideMark/>
          </w:tcPr>
          <w:p w14:paraId="1D529A3B" w14:textId="77777777" w:rsidR="00BE14C8" w:rsidRPr="00BE14C8" w:rsidRDefault="00BE14C8" w:rsidP="001E2443">
            <w:pPr>
              <w:shd w:val="clear" w:color="auto" w:fill="FFFFFF"/>
              <w:spacing w:line="276" w:lineRule="auto"/>
              <w:rPr>
                <w:rFonts w:ascii="Palatino Linotype" w:eastAsia="Times New Roman" w:hAnsi="Palatino Linotype" w:cs="Times New Roman"/>
                <w:color w:val="0F1115"/>
                <w:szCs w:val="24"/>
              </w:rPr>
            </w:pPr>
            <w:r w:rsidRPr="00BE14C8">
              <w:rPr>
                <w:rFonts w:ascii="Palatino Linotype" w:eastAsia="Times New Roman" w:hAnsi="Palatino Linotype" w:cs="Times New Roman"/>
                <w:color w:val="0F1115"/>
                <w:szCs w:val="24"/>
              </w:rPr>
              <w:t>Dependent on external funding and exchange programs; emphasizes quality over scale</w:t>
            </w:r>
          </w:p>
        </w:tc>
      </w:tr>
    </w:tbl>
    <w:p w14:paraId="10B4B2A6" w14:textId="77777777" w:rsidR="00BE14C8" w:rsidRDefault="00BE14C8" w:rsidP="00BE14C8">
      <w:pPr>
        <w:pStyle w:val="Alishlah31text"/>
        <w:ind w:firstLine="0"/>
        <w:jc w:val="center"/>
      </w:pPr>
    </w:p>
    <w:p w14:paraId="7F364D70" w14:textId="77777777" w:rsidR="00BE14C8" w:rsidRDefault="00BE14C8" w:rsidP="00BE14C8">
      <w:pPr>
        <w:pStyle w:val="Alishlah31text"/>
        <w:ind w:firstLine="0"/>
      </w:pPr>
    </w:p>
    <w:p w14:paraId="6145B84C" w14:textId="77777777" w:rsidR="00BE14C8" w:rsidRDefault="001E2443" w:rsidP="001E2443">
      <w:pPr>
        <w:pStyle w:val="Alishlah31text"/>
      </w:pPr>
      <w:r w:rsidRPr="001E2443">
        <w:t>Following this synthesis, the discussion now turns to how these clusters have developed differently across geographic contexts.</w:t>
      </w:r>
    </w:p>
    <w:p w14:paraId="4ABC2A21" w14:textId="77777777" w:rsidR="001E2443" w:rsidRDefault="001E2443" w:rsidP="001E2443">
      <w:pPr>
        <w:pStyle w:val="Alishlah21heading1"/>
        <w:numPr>
          <w:ilvl w:val="0"/>
          <w:numId w:val="0"/>
        </w:numPr>
      </w:pPr>
      <w:r w:rsidRPr="001E2443">
        <w:t>Results for Research Question 2: Divergent Development in Southeast Asia vs. the United States</w:t>
      </w:r>
    </w:p>
    <w:p w14:paraId="2FA90AC2" w14:textId="77777777" w:rsidR="001E2443" w:rsidRDefault="001E2443" w:rsidP="001E2443">
      <w:pPr>
        <w:pStyle w:val="Alishlah31text"/>
      </w:pPr>
      <w:r>
        <w:t xml:space="preserve">A clear dichotomy exists between the developmental trajectories in Southeast Asia and the United States, shaped by distinct contextual drivers. In Southeast Asia, the development is characterized by institutional proliferation and regional integration. Studies from this context, such as those by </w:t>
      </w:r>
      <w:proofErr w:type="spellStart"/>
      <w:r>
        <w:t>Mufidah</w:t>
      </w:r>
      <w:proofErr w:type="spellEnd"/>
      <w:r>
        <w:t xml:space="preserve"> and Sari (2022) and </w:t>
      </w:r>
      <w:proofErr w:type="spellStart"/>
      <w:r>
        <w:t>Isnaniah</w:t>
      </w:r>
      <w:proofErr w:type="spellEnd"/>
      <w:r>
        <w:t xml:space="preserve"> and </w:t>
      </w:r>
      <w:proofErr w:type="spellStart"/>
      <w:r>
        <w:t>Mustofa</w:t>
      </w:r>
      <w:proofErr w:type="spellEnd"/>
      <w:r>
        <w:t xml:space="preserve"> (2020), highlight BIPA's growth within national higher education systems, often linked to specific institutional identities (e.g., Islamic universities). The region's cultural and geographic proximity acts as a catalyst. </w:t>
      </w:r>
      <w:proofErr w:type="spellStart"/>
      <w:r>
        <w:t>Ady</w:t>
      </w:r>
      <w:proofErr w:type="spellEnd"/>
      <w:r>
        <w:t xml:space="preserve"> and </w:t>
      </w:r>
      <w:proofErr w:type="spellStart"/>
      <w:r>
        <w:t>Mardiah's</w:t>
      </w:r>
      <w:proofErr w:type="spellEnd"/>
      <w:r>
        <w:t xml:space="preserve"> (2024) systematic review on foreign language speaking anxiety, while not BIPA-specific, provides crucial regional context, noting that "Southeast Asian learners" often share certain sociocultural traits that influence pedagogy, a finding BIPA instructors must navigate (p. 1). The focus is often on scalability, formal credentialing, and serving adjacent markets for education and labor mobility.</w:t>
      </w:r>
    </w:p>
    <w:p w14:paraId="030E74FE" w14:textId="77777777" w:rsidR="00BE14C8" w:rsidRDefault="001E2443" w:rsidP="001E2443">
      <w:pPr>
        <w:pStyle w:val="Alishlah31text"/>
      </w:pPr>
      <w:r>
        <w:t xml:space="preserve">Conversely, in the United States, BIPA exists within the ecosystem of Less Commonly Taught Languages (LCTLs) and faces a distinct set of strategic challenges. Wong and Hill (2023) provide the most direct analysis, framing the situation as "walking a fine line" for Asian language bilingual education. They identify systemic tensions, including the "commercialization" of language instruction and the challenge of maintaining program sustainability amid fluctuating enrollment. Their analysis suggests that BIPA programs in the U.S. must navigate being perceived as both a "heritage" language for a small community and an "exotic" or strategic language for the wider populace. The development model, therefore, is less about large-scale institutional programs and more about strategic placement within university language departments, often dependent on individual faculty champions and grant funding, such as the FLTA program described by </w:t>
      </w:r>
      <w:proofErr w:type="spellStart"/>
      <w:r>
        <w:t>Velásquez-Hoyos</w:t>
      </w:r>
      <w:proofErr w:type="spellEnd"/>
      <w:r>
        <w:t xml:space="preserve"> and Martínez-Burgos (2023). The U.S. strategy emphasizes quality, depth, and academic prestige over quantitative expansion.</w:t>
      </w:r>
    </w:p>
    <w:p w14:paraId="5CAAF6CF" w14:textId="77777777" w:rsidR="001E2443" w:rsidRDefault="001E2443" w:rsidP="001E2443">
      <w:pPr>
        <w:pStyle w:val="Alishlah21heading1"/>
        <w:numPr>
          <w:ilvl w:val="0"/>
          <w:numId w:val="0"/>
        </w:numPr>
      </w:pPr>
      <w:r w:rsidRPr="001E2443">
        <w:t>Results for Research Question 3: Influence of National Policy and Institutional Frameworks</w:t>
      </w:r>
    </w:p>
    <w:p w14:paraId="25CB486E" w14:textId="77777777" w:rsidR="001E2443" w:rsidRDefault="001E2443" w:rsidP="001E2443">
      <w:pPr>
        <w:pStyle w:val="Alishlah31text"/>
      </w:pPr>
      <w:r>
        <w:t xml:space="preserve">The influence of </w:t>
      </w:r>
      <w:proofErr w:type="spellStart"/>
      <w:r>
        <w:t>Undang-Undang</w:t>
      </w:r>
      <w:proofErr w:type="spellEnd"/>
      <w:r>
        <w:t xml:space="preserve"> </w:t>
      </w:r>
      <w:proofErr w:type="spellStart"/>
      <w:r>
        <w:t>Nomor</w:t>
      </w:r>
      <w:proofErr w:type="spellEnd"/>
      <w:r>
        <w:t xml:space="preserve"> 24 </w:t>
      </w:r>
      <w:proofErr w:type="spellStart"/>
      <w:r>
        <w:t>Tahun</w:t>
      </w:r>
      <w:proofErr w:type="spellEnd"/>
      <w:r>
        <w:t xml:space="preserve"> 2009 is explicitly and implicitly woven throughout the literature, though its translation into practice is complex and multi-layered. Susanto et al. (2024) offer the most direct examination, analyzing "Indonesian language policy and perspectives on its implementation in promoting Bahasa Indonesia as an international language" (p. 1). They conclude that the law provided a crucial "legal umbrella" and mandate, but its effectiveness relies on coherent downstream implementation, which has been inconsistent.</w:t>
      </w:r>
    </w:p>
    <w:p w14:paraId="02A67DA7" w14:textId="77777777" w:rsidR="001E2443" w:rsidRDefault="001E2443" w:rsidP="001E2443">
      <w:pPr>
        <w:pStyle w:val="Alishlah31text"/>
      </w:pPr>
      <w:r>
        <w:t xml:space="preserve">The role of the Pusat </w:t>
      </w:r>
      <w:proofErr w:type="spellStart"/>
      <w:r>
        <w:t>Pengembangan</w:t>
      </w:r>
      <w:proofErr w:type="spellEnd"/>
      <w:r>
        <w:t xml:space="preserve"> </w:t>
      </w:r>
      <w:proofErr w:type="spellStart"/>
      <w:r>
        <w:t>Strategi</w:t>
      </w:r>
      <w:proofErr w:type="spellEnd"/>
      <w:r>
        <w:t xml:space="preserve"> dan </w:t>
      </w:r>
      <w:proofErr w:type="spellStart"/>
      <w:r>
        <w:t>Diplomasi</w:t>
      </w:r>
      <w:proofErr w:type="spellEnd"/>
      <w:r>
        <w:t xml:space="preserve"> </w:t>
      </w:r>
      <w:proofErr w:type="spellStart"/>
      <w:r>
        <w:t>Kebudayaan</w:t>
      </w:r>
      <w:proofErr w:type="spellEnd"/>
      <w:r>
        <w:t xml:space="preserve"> (PPSDK) and its predecessors is referenced as a central, though sometimes ambiguous, actor. </w:t>
      </w:r>
      <w:proofErr w:type="spellStart"/>
      <w:r>
        <w:t>Ardiyanti</w:t>
      </w:r>
      <w:proofErr w:type="spellEnd"/>
      <w:r>
        <w:t xml:space="preserve"> (2024), in reviewing the national curriculum, implicitly evaluates the output of these policy bodies, noting the </w:t>
      </w:r>
      <w:r>
        <w:lastRenderedPageBreak/>
        <w:t xml:space="preserve">curriculum's strengths as an official guideline but critiquing its top-down nature. </w:t>
      </w:r>
      <w:proofErr w:type="spellStart"/>
      <w:r>
        <w:t>Tamphu</w:t>
      </w:r>
      <w:proofErr w:type="spellEnd"/>
      <w:r>
        <w:t xml:space="preserve"> et al.'s (2024) bibliometric study on AI in learning mentions BIPA educators who are "actively engaged in writing educational books," often in connection with national initiatives that can be traced to these development centers (p. 1). </w:t>
      </w:r>
      <w:proofErr w:type="spellStart"/>
      <w:r>
        <w:t>Simek</w:t>
      </w:r>
      <w:proofErr w:type="spellEnd"/>
      <w:r>
        <w:t xml:space="preserve"> and Stewart (2024) position BIPA within the broader "international student recruitment and support" apparatus of the Indonesian government, implying its function as a soft-power tool aligned with the diplomatic goals embedded in the 2009 law.</w:t>
      </w:r>
    </w:p>
    <w:p w14:paraId="482F3367" w14:textId="77777777" w:rsidR="00BE14C8" w:rsidRDefault="001E2443" w:rsidP="001E2443">
      <w:pPr>
        <w:pStyle w:val="Alishlah31text"/>
      </w:pPr>
      <w:r>
        <w:t xml:space="preserve">However, a significant theme across studies is the "implementation gap." While the policy (UU 24/2009) sets a grand vision of internationalization, the on-the-ground models documented—such as the localized needs analysis by </w:t>
      </w:r>
      <w:proofErr w:type="spellStart"/>
      <w:r>
        <w:t>Mufidah</w:t>
      </w:r>
      <w:proofErr w:type="spellEnd"/>
      <w:r>
        <w:t xml:space="preserve"> and Sari (2022), the classroom-level TPACK development by </w:t>
      </w:r>
      <w:proofErr w:type="spellStart"/>
      <w:r>
        <w:t>Kristiawan</w:t>
      </w:r>
      <w:proofErr w:type="spellEnd"/>
      <w:r>
        <w:t xml:space="preserve"> et al. (2022), or the CEFR adaptation by </w:t>
      </w:r>
      <w:proofErr w:type="spellStart"/>
      <w:r>
        <w:t>Muliastuti</w:t>
      </w:r>
      <w:proofErr w:type="spellEnd"/>
      <w:r>
        <w:t xml:space="preserve"> et al. (2023)—are largely driven by grassroots academic initiative and practical necessity. The policy is cited as a justification and motivator, but the operational strategies are predominantly devised by educators and institutions responding to immediate contextual challenges and opportunities, suggesting a decentralized model of policy enactment.</w:t>
      </w:r>
    </w:p>
    <w:p w14:paraId="55D3D80D" w14:textId="77777777" w:rsidR="001E2443" w:rsidRDefault="001E2443" w:rsidP="001E2443">
      <w:pPr>
        <w:pStyle w:val="Alishlah21heading1"/>
        <w:numPr>
          <w:ilvl w:val="0"/>
          <w:numId w:val="0"/>
        </w:numPr>
      </w:pPr>
      <w:r w:rsidRPr="001E2443">
        <w:t>Overall Synthesis</w:t>
      </w:r>
    </w:p>
    <w:p w14:paraId="3B144F34" w14:textId="77777777" w:rsidR="001E2443" w:rsidRDefault="001E2443" w:rsidP="00BE14C8">
      <w:pPr>
        <w:pStyle w:val="Alishlah31text"/>
        <w:ind w:firstLine="0"/>
      </w:pPr>
      <w:r w:rsidRPr="00E5061F">
        <w:rPr>
          <w:rFonts w:ascii="Times New Roman" w:hAnsi="Times New Roman"/>
          <w:noProof/>
          <w:color w:val="0F1115"/>
          <w:sz w:val="24"/>
          <w:szCs w:val="24"/>
        </w:rPr>
        <w:drawing>
          <wp:inline distT="0" distB="0" distL="0" distR="0" wp14:anchorId="0D97EC4B" wp14:editId="18509F63">
            <wp:extent cx="5731510" cy="2799095"/>
            <wp:effectExtent l="0" t="0" r="2540" b="1270"/>
            <wp:docPr id="6" name="Picture 6" descr="C:\Users\hp\Downloads\Proyek Kerja\Proyek 195 SLR new\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Downloads\Proyek Kerja\Proyek 195 SLR new\figure 2.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0569" b="10666"/>
                    <a:stretch/>
                  </pic:blipFill>
                  <pic:spPr bwMode="auto">
                    <a:xfrm>
                      <a:off x="0" y="0"/>
                      <a:ext cx="5731510" cy="2799095"/>
                    </a:xfrm>
                    <a:prstGeom prst="rect">
                      <a:avLst/>
                    </a:prstGeom>
                    <a:noFill/>
                    <a:ln>
                      <a:noFill/>
                    </a:ln>
                    <a:extLst>
                      <a:ext uri="{53640926-AAD7-44D8-BBD7-CCE9431645EC}">
                        <a14:shadowObscured xmlns:a14="http://schemas.microsoft.com/office/drawing/2010/main"/>
                      </a:ext>
                    </a:extLst>
                  </pic:spPr>
                </pic:pic>
              </a:graphicData>
            </a:graphic>
          </wp:inline>
        </w:drawing>
      </w:r>
    </w:p>
    <w:p w14:paraId="152F479F" w14:textId="77777777" w:rsidR="001E2443" w:rsidRDefault="001E2443" w:rsidP="00BE14C8">
      <w:pPr>
        <w:pStyle w:val="Alishlah31text"/>
        <w:ind w:firstLine="0"/>
      </w:pPr>
    </w:p>
    <w:p w14:paraId="51DB6E69" w14:textId="77777777" w:rsidR="001E2443" w:rsidRDefault="001E2443" w:rsidP="001E2443">
      <w:pPr>
        <w:pStyle w:val="Alishlah31text"/>
        <w:ind w:firstLine="0"/>
        <w:jc w:val="center"/>
      </w:pPr>
      <w:r w:rsidRPr="001E2443">
        <w:rPr>
          <w:b/>
          <w:bCs/>
        </w:rPr>
        <w:t>Figure 2</w:t>
      </w:r>
      <w:r w:rsidRPr="001E2443">
        <w:t>. BIPA Model Evolution Timeline (2009-2024)</w:t>
      </w:r>
    </w:p>
    <w:p w14:paraId="6A278F34" w14:textId="77777777" w:rsidR="001E2443" w:rsidRDefault="001E2443" w:rsidP="001E2443">
      <w:pPr>
        <w:shd w:val="clear" w:color="auto" w:fill="FFFFFF"/>
        <w:spacing w:after="0" w:line="276" w:lineRule="auto"/>
        <w:jc w:val="both"/>
        <w:rPr>
          <w:rFonts w:ascii="Times New Roman" w:eastAsia="Times New Roman" w:hAnsi="Times New Roman" w:cs="Times New Roman"/>
          <w:i/>
          <w:color w:val="0F1115"/>
          <w:sz w:val="20"/>
          <w:szCs w:val="24"/>
        </w:rPr>
      </w:pPr>
    </w:p>
    <w:p w14:paraId="0AADAEA9" w14:textId="77777777" w:rsidR="001E2443" w:rsidRPr="001E2443" w:rsidRDefault="001E2443" w:rsidP="001E2443">
      <w:pPr>
        <w:shd w:val="clear" w:color="auto" w:fill="FFFFFF"/>
        <w:spacing w:after="0" w:line="240" w:lineRule="auto"/>
        <w:jc w:val="both"/>
        <w:rPr>
          <w:rFonts w:ascii="Palatino Linotype" w:eastAsia="Times New Roman" w:hAnsi="Palatino Linotype" w:cs="Times New Roman"/>
          <w:i/>
          <w:color w:val="0F1115"/>
          <w:sz w:val="20"/>
          <w:szCs w:val="24"/>
        </w:rPr>
      </w:pPr>
      <w:r w:rsidRPr="001E2443">
        <w:rPr>
          <w:rFonts w:ascii="Palatino Linotype" w:eastAsia="Times New Roman" w:hAnsi="Palatino Linotype" w:cs="Times New Roman"/>
          <w:i/>
          <w:color w:val="0F1115"/>
          <w:sz w:val="20"/>
          <w:szCs w:val="24"/>
        </w:rPr>
        <w:t xml:space="preserve">The timeline illustrates three overlapping developmental phases: </w:t>
      </w:r>
    </w:p>
    <w:p w14:paraId="44124B08" w14:textId="77777777" w:rsidR="001E2443" w:rsidRPr="001E2443" w:rsidRDefault="001E2443" w:rsidP="001E2443">
      <w:pPr>
        <w:shd w:val="clear" w:color="auto" w:fill="FFFFFF"/>
        <w:spacing w:after="0" w:line="240" w:lineRule="auto"/>
        <w:jc w:val="both"/>
        <w:rPr>
          <w:rFonts w:ascii="Palatino Linotype" w:eastAsia="Times New Roman" w:hAnsi="Palatino Linotype" w:cs="Times New Roman"/>
          <w:i/>
          <w:color w:val="0F1115"/>
          <w:sz w:val="20"/>
          <w:szCs w:val="24"/>
        </w:rPr>
      </w:pPr>
      <w:r w:rsidRPr="001E2443">
        <w:rPr>
          <w:rFonts w:ascii="Palatino Linotype" w:eastAsia="Times New Roman" w:hAnsi="Palatino Linotype" w:cs="Times New Roman"/>
          <w:i/>
          <w:color w:val="0F1115"/>
          <w:sz w:val="20"/>
          <w:szCs w:val="24"/>
        </w:rPr>
        <w:t xml:space="preserve">(1) Policy &amp; Standardization (2009-2015) driven by UU 24/2009; </w:t>
      </w:r>
    </w:p>
    <w:p w14:paraId="0CD5503F" w14:textId="77777777" w:rsidR="001E2443" w:rsidRPr="001E2443" w:rsidRDefault="001E2443" w:rsidP="001E2443">
      <w:pPr>
        <w:shd w:val="clear" w:color="auto" w:fill="FFFFFF"/>
        <w:spacing w:after="0" w:line="240" w:lineRule="auto"/>
        <w:jc w:val="both"/>
        <w:rPr>
          <w:rFonts w:ascii="Palatino Linotype" w:eastAsia="Times New Roman" w:hAnsi="Palatino Linotype" w:cs="Times New Roman"/>
          <w:i/>
          <w:color w:val="0F1115"/>
          <w:sz w:val="20"/>
          <w:szCs w:val="24"/>
        </w:rPr>
      </w:pPr>
      <w:r w:rsidRPr="001E2443">
        <w:rPr>
          <w:rFonts w:ascii="Palatino Linotype" w:eastAsia="Times New Roman" w:hAnsi="Palatino Linotype" w:cs="Times New Roman"/>
          <w:i/>
          <w:color w:val="0F1115"/>
          <w:sz w:val="20"/>
          <w:szCs w:val="24"/>
        </w:rPr>
        <w:t xml:space="preserve">(2) Integration &amp; Expansion (2016-2020) emphasizing digital tools and regional networks; </w:t>
      </w:r>
    </w:p>
    <w:p w14:paraId="6E74284C" w14:textId="77777777" w:rsidR="001E2443" w:rsidRPr="001E2443" w:rsidRDefault="001E2443" w:rsidP="001E2443">
      <w:pPr>
        <w:shd w:val="clear" w:color="auto" w:fill="FFFFFF"/>
        <w:spacing w:after="0" w:line="240" w:lineRule="auto"/>
        <w:jc w:val="both"/>
        <w:rPr>
          <w:rFonts w:ascii="Palatino Linotype" w:eastAsia="Times New Roman" w:hAnsi="Palatino Linotype" w:cs="Times New Roman"/>
          <w:i/>
          <w:color w:val="0F1115"/>
          <w:sz w:val="20"/>
          <w:szCs w:val="24"/>
        </w:rPr>
      </w:pPr>
      <w:r w:rsidRPr="001E2443">
        <w:rPr>
          <w:rFonts w:ascii="Palatino Linotype" w:eastAsia="Times New Roman" w:hAnsi="Palatino Linotype" w:cs="Times New Roman"/>
          <w:i/>
          <w:color w:val="0F1115"/>
          <w:sz w:val="20"/>
          <w:szCs w:val="24"/>
        </w:rPr>
        <w:t xml:space="preserve">(3) Innovation &amp; Contextualization (2021-2024) characterized by teacher-led adaptation. </w:t>
      </w:r>
    </w:p>
    <w:p w14:paraId="793ADA46" w14:textId="77777777" w:rsidR="001E2443" w:rsidRPr="001E2443" w:rsidRDefault="001E2443" w:rsidP="001E2443">
      <w:pPr>
        <w:shd w:val="clear" w:color="auto" w:fill="FFFFFF"/>
        <w:spacing w:after="0" w:line="240" w:lineRule="auto"/>
        <w:jc w:val="both"/>
        <w:rPr>
          <w:rFonts w:ascii="Palatino Linotype" w:eastAsia="Times New Roman" w:hAnsi="Palatino Linotype" w:cs="Times New Roman"/>
          <w:i/>
          <w:color w:val="0F1115"/>
          <w:sz w:val="20"/>
          <w:szCs w:val="24"/>
        </w:rPr>
      </w:pPr>
      <w:r w:rsidRPr="001E2443">
        <w:rPr>
          <w:rFonts w:ascii="Palatino Linotype" w:eastAsia="Times New Roman" w:hAnsi="Palatino Linotype" w:cs="Times New Roman"/>
          <w:i/>
          <w:color w:val="0F1115"/>
          <w:sz w:val="20"/>
          <w:szCs w:val="24"/>
        </w:rPr>
        <w:t>SE Asia context is dominant throughout; U.S. engagement increases notably from Phase 2 onward.</w:t>
      </w:r>
    </w:p>
    <w:p w14:paraId="61D4BA92" w14:textId="77777777" w:rsidR="001E2443" w:rsidRDefault="001E2443" w:rsidP="00BE14C8">
      <w:pPr>
        <w:pStyle w:val="Alishlah31text"/>
        <w:ind w:firstLine="0"/>
      </w:pPr>
    </w:p>
    <w:p w14:paraId="390658B8" w14:textId="77777777" w:rsidR="001E2443" w:rsidRDefault="001E2443" w:rsidP="001E2443">
      <w:pPr>
        <w:pStyle w:val="Alishlah31text"/>
      </w:pPr>
      <w:r w:rsidRPr="001E2443">
        <w:t xml:space="preserve">This temporal progression—from policy-driven standardization (2009-2015) through technological and regional integration (2016-2020) to teacher-led contextualization (2021-2024)—is visualized in Figure 2. The phases overlap and influence one another, reflecting BIPA's adaptive development across changing educational landscapes. The development of BIPA training models from 2009 to 2024 reveals a field in a dynamic state of professionalization and contextual adaptation. The catalytic effect of UU 24/2009 is evident, providing a legitimizing policy foundation that spurred activity. However, the strategic pathways have diverged significantly: Southeast Asia exhibits a model of institutional expansion and regional integration, whereas the United States represents a model of niche sustainability </w:t>
      </w:r>
      <w:r w:rsidRPr="001E2443">
        <w:lastRenderedPageBreak/>
        <w:t>within the LCTL framework. The predominant training strategies have evolved from foundational curriculum development (e.g., CEFR adaptation) toward greater technological integration and emphasis on teacher professional development (e.g., TPACK, FLTA). A consistent thread is the agency of practitioners in translating broad policy mandates into workable pedagogical models, indicating that the most effective strategies are those that are responsive to localized needs, whether in Banjarmasin, Islamic boarding schools, or American university language departments. The evidence suggests that the future development of BIPA training will continue to hinge on this balance between top-down policy support and bottom-up, innovative pedagogical adaptation.</w:t>
      </w:r>
    </w:p>
    <w:p w14:paraId="438650FA" w14:textId="77777777" w:rsidR="001E2443" w:rsidRDefault="001E2443" w:rsidP="00BE14C8">
      <w:pPr>
        <w:pStyle w:val="Alishlah31text"/>
        <w:ind w:firstLine="0"/>
      </w:pPr>
    </w:p>
    <w:p w14:paraId="12DD6143" w14:textId="77777777" w:rsidR="001E2443" w:rsidRPr="005618E3" w:rsidRDefault="005618E3" w:rsidP="00BE14C8">
      <w:pPr>
        <w:pStyle w:val="Alishlah31text"/>
        <w:ind w:firstLine="0"/>
        <w:rPr>
          <w:b/>
          <w:bCs/>
          <w:sz w:val="22"/>
        </w:rPr>
      </w:pPr>
      <w:r w:rsidRPr="005618E3">
        <w:rPr>
          <w:b/>
          <w:bCs/>
          <w:sz w:val="22"/>
        </w:rPr>
        <w:t>D</w:t>
      </w:r>
      <w:r w:rsidRPr="005618E3">
        <w:rPr>
          <w:b/>
          <w:bCs/>
          <w:sz w:val="22"/>
          <w:lang w:eastAsia="zh-CN"/>
        </w:rPr>
        <w:t>iscussion</w:t>
      </w:r>
    </w:p>
    <w:p w14:paraId="51E90408" w14:textId="77777777" w:rsidR="005618E3" w:rsidRDefault="005618E3" w:rsidP="005618E3">
      <w:pPr>
        <w:pStyle w:val="Alishlah31text"/>
      </w:pPr>
      <w:r>
        <w:t>As Figure 2 illustrates, BIPA's evolution has been neither linear nor uniform. Rather, it represents accumulating layers of response: first to policy mandate, then to technological opportunity, and finally to localized pedagogical necessity. This phased development explains the current coexistence of standardized frameworks with highly contextualized teaching models. This systematic review offers the first comprehensive synthesis of the development of BIPA training models and strategies across two critical geographic contexts—Southeast Asia and the United States—during the pivotal post-2009 policy era. The findings illuminate a dynamic, multi-layered process of professionalization wherein a top-down national language policy (UU No. 24/2009) has intersected with, and been substantially reinterpreted by, bottom-up pedagogical innovation and contextual necessity. The theoretical lens of language policy and planning (LPP) (</w:t>
      </w:r>
      <w:proofErr w:type="spellStart"/>
      <w:r>
        <w:t>Spolsky</w:t>
      </w:r>
      <w:proofErr w:type="spellEnd"/>
      <w:r>
        <w:t xml:space="preserve">, 2004; </w:t>
      </w:r>
      <w:proofErr w:type="spellStart"/>
      <w:r>
        <w:t>Ricento</w:t>
      </w:r>
      <w:proofErr w:type="spellEnd"/>
      <w:r>
        <w:t>, 2006) is instrumental in unpacking these dynamics. While the 2009 law represents a clear act of status planning—elevating Indonesian's aspirational function as an international language—the evidence reveals that the substantive development has occurred in the realms of acquisition planning (how the language is taught) and corpus planning (through frameworks like the CEFR adaptation). This disjunction between policy rhetoric and practical strategy aligns with Johnson's (2013) concept of the "implementation gap," where the enacted curriculum and daily pedagogies often diverge from officially mandated plans. The models documented, from needs-based program development (</w:t>
      </w:r>
      <w:proofErr w:type="spellStart"/>
      <w:r>
        <w:t>Mufidah</w:t>
      </w:r>
      <w:proofErr w:type="spellEnd"/>
      <w:r>
        <w:t xml:space="preserve"> &amp; Sari, 2022) to TPACK-focused teacher training (</w:t>
      </w:r>
      <w:proofErr w:type="spellStart"/>
      <w:r>
        <w:t>Kristiawan</w:t>
      </w:r>
      <w:proofErr w:type="spellEnd"/>
      <w:r>
        <w:t xml:space="preserve"> et al., 2022), represent the "on-the-ground" creation of acquisition plans by educators and institutions, effectively filling the void left by broad, non-specific policy directives.</w:t>
      </w:r>
    </w:p>
    <w:p w14:paraId="734C85B0" w14:textId="77777777" w:rsidR="005618E3" w:rsidRDefault="005618E3" w:rsidP="005618E3">
      <w:pPr>
        <w:pStyle w:val="Alishlah31text"/>
      </w:pPr>
      <w:r>
        <w:t xml:space="preserve">The stark divergence in developmental trajectories between Southeast Asia and the United States underscores the profound influence of socio-educational context on language program ecology (Hornberger, 2002). In Southeast Asia, BIPA’s growth reflects a model of regional linguistic integration and educational commodification, driven by geographic proximity, cultural affinity, and intra-ASEAN mobility. This aligns with studies on the role of national languages in regional identity-building (Kirkpatrick, 2010). The establishment of formal study programs at universities like UIN </w:t>
      </w:r>
      <w:proofErr w:type="spellStart"/>
      <w:r>
        <w:t>Antasari</w:t>
      </w:r>
      <w:proofErr w:type="spellEnd"/>
      <w:r>
        <w:t xml:space="preserve"> (</w:t>
      </w:r>
      <w:proofErr w:type="spellStart"/>
      <w:r>
        <w:t>Mufidah</w:t>
      </w:r>
      <w:proofErr w:type="spellEnd"/>
      <w:r>
        <w:t xml:space="preserve"> &amp; Sari, 2022) mirrors the institutionalization patterns of other regional languages. Conversely, the U.S. context, where BIPA is situated within the challenging ecosystem of Less Commonly Taught Languages (LCTLs) (Wong &amp; Hill, 2023), exemplifies a strategy of academic niche-sustainability. This finding resonates with broader literature on LCTL programs in Anglophone contexts, which often struggle with cycles of funding vulnerability and rely heavily on individual advocacy (</w:t>
      </w:r>
      <w:proofErr w:type="spellStart"/>
      <w:r>
        <w:t>Carreira</w:t>
      </w:r>
      <w:proofErr w:type="spellEnd"/>
      <w:r>
        <w:t xml:space="preserve"> &amp; Kagan, 2011). The Fulbright FLTA program (</w:t>
      </w:r>
      <w:proofErr w:type="spellStart"/>
      <w:r>
        <w:t>Velásquez-Hoyos</w:t>
      </w:r>
      <w:proofErr w:type="spellEnd"/>
      <w:r>
        <w:t xml:space="preserve"> &amp; Martínez-Burgos, 2023) emerges as a critical, yet externally dependent, support structure, highlighting a reliance on transnational exchange rather than domestic institutionalization. This comparative analysis reveals that BIPA does not follow a universal development model but rather adapts to the political economy of language education in each setting.</w:t>
      </w:r>
    </w:p>
    <w:p w14:paraId="59B1A886" w14:textId="77777777" w:rsidR="005618E3" w:rsidRDefault="005618E3" w:rsidP="005618E3">
      <w:pPr>
        <w:pStyle w:val="Alishlah31text"/>
      </w:pPr>
      <w:r>
        <w:t xml:space="preserve">A central, and perhaps the most significant, contribution of this review is its synthesis of the translational layer between macro-policy and micro-practice. While prior literature has either analyzed UU 24/2009 as a legal document or examined isolated pedagogical experiments, this review connects these dots. It demonstrates that the policy’s greatest impact may not be in dictating specific methods but in legitimizing the field and motivating a diverse array of stakeholders—from university departments to </w:t>
      </w:r>
      <w:r>
        <w:lastRenderedPageBreak/>
        <w:t>individual teachers—to create actionable models. The proliferation of technological integration strategies (</w:t>
      </w:r>
      <w:proofErr w:type="spellStart"/>
      <w:r>
        <w:t>Pratama</w:t>
      </w:r>
      <w:proofErr w:type="spellEnd"/>
      <w:r>
        <w:t xml:space="preserve"> et al., 2022; </w:t>
      </w:r>
      <w:proofErr w:type="spellStart"/>
      <w:r>
        <w:t>Rochmawati</w:t>
      </w:r>
      <w:proofErr w:type="spellEnd"/>
      <w:r>
        <w:t xml:space="preserve"> et al., 2023) and professional development frameworks (</w:t>
      </w:r>
      <w:proofErr w:type="spellStart"/>
      <w:r>
        <w:t>Kristiawan</w:t>
      </w:r>
      <w:proofErr w:type="spellEnd"/>
      <w:r>
        <w:t xml:space="preserve"> et al., 2022) post-2010 represents a grassroots response to the policy’s call for "development" and "enhancement." This aligns with theories of teacher agency in curriculum making (Priestley et al., 2015), where educators are not passive implementers but active designers who interpret and operationalize broad mandates based on their contextual knowledge and resources.</w:t>
      </w:r>
    </w:p>
    <w:p w14:paraId="0F9AF2A0" w14:textId="77777777" w:rsidR="005618E3" w:rsidRDefault="005618E3" w:rsidP="005618E3">
      <w:pPr>
        <w:pStyle w:val="Alishlah31text"/>
      </w:pPr>
      <w:r>
        <w:t xml:space="preserve">Nevertheless, this review also exposes critical gaps and tensions. First, there is a notable absence of longitudinal outcome studies. While many studies describe model design or initial implementation (e.g., </w:t>
      </w:r>
      <w:proofErr w:type="spellStart"/>
      <w:r>
        <w:t>Muliastuti</w:t>
      </w:r>
      <w:proofErr w:type="spellEnd"/>
      <w:r>
        <w:t xml:space="preserve"> et al., 2023; </w:t>
      </w:r>
      <w:proofErr w:type="spellStart"/>
      <w:r>
        <w:t>Pratama</w:t>
      </w:r>
      <w:proofErr w:type="spellEnd"/>
      <w:r>
        <w:t xml:space="preserve"> et al., 2022), robust empirical data on long-term learner proficiency gains, teacher competency development, or program sustainability is scarce. Second, the voice of BIPA learners themselves remains relatively muted, with </w:t>
      </w:r>
      <w:proofErr w:type="spellStart"/>
      <w:r>
        <w:t>Suyitno</w:t>
      </w:r>
      <w:proofErr w:type="spellEnd"/>
      <w:r>
        <w:t xml:space="preserve"> et al. (2021) being a notable exception. A deeper understanding of learner motivations, experiences, and outcomes across different contexts is essential for model refinement. Third, the dissolution of the PPSDK during the review period creates a strategic ambiguity about the future central coordination of BIPA development, suggesting a possible shift towards even more decentralized, network-based growth.</w:t>
      </w:r>
    </w:p>
    <w:p w14:paraId="465AA4B7" w14:textId="77777777" w:rsidR="005618E3" w:rsidRDefault="005618E3" w:rsidP="005618E3">
      <w:pPr>
        <w:pStyle w:val="Alishlah31text"/>
      </w:pPr>
      <w:r>
        <w:t>The practical implications of these findings are multifold. For Indonesian policymakers and ministry officials, the evidence argues for a supportive, facilitative role rather than a prescriptive one. Investment should focus on enabling conditions: funding for teacher professional development networks, grants for contextual model innovation (especially in LCTL contexts like the U.S.), and the development of open-access resource repositories. For university administrators and program directors, the review underscores the necessity of conducting localized needs analyses before establishing programs and highlights the strategic value of forging international partnerships, such as FLTA linkages, to ensure quality and sustainability. For BIPA educators and curriculum developers, the synthesis validates the importance of context-sensitive adaptation—whether integrating local culture via AR, aligning with international standards via CEFR, or incorporating religious values in Islamic settings. They are encouraged to document and share their practical models to build a more robust, collective knowledge base.</w:t>
      </w:r>
    </w:p>
    <w:p w14:paraId="1E6DC9FD" w14:textId="77777777" w:rsidR="001E2443" w:rsidRDefault="005618E3" w:rsidP="005618E3">
      <w:pPr>
        <w:pStyle w:val="Alishlah31text"/>
      </w:pPr>
      <w:r>
        <w:t>In conclusion, this systematic review charts the 15-year evolution of BIPA from a policy declaration into a vibrant, if heterogeneous, field of practice. It uniquely contributes to the literature by mapping the complex interplay between Indonesia’s national language ideology and the pragmatic realities of teaching Indonesian abroad, comparing its institutionalization in linguistically proximate versus distant contexts. By synthesizing disparate studies, it reveals that the strength of BIPA’s development lies not in a monolithic, centrally-dictated strategy, but in the aggregate of numerous localized, innovative responses to the opportunity created by UU 24/2009. The future trajectory of BIPA as an international language will likely depend on continuing to nurture this ecosystem of practitioner-led innovation while building stronger mechanisms for strategic coordination, quality assurance, and evidence-based evaluation across its diverse global manifestations.</w:t>
      </w:r>
    </w:p>
    <w:p w14:paraId="74EAA9A7" w14:textId="77777777" w:rsidR="005618E3" w:rsidRDefault="005618E3" w:rsidP="00BE14C8">
      <w:pPr>
        <w:pStyle w:val="Alishlah31text"/>
        <w:ind w:firstLine="0"/>
      </w:pPr>
    </w:p>
    <w:p w14:paraId="697B5517" w14:textId="77777777" w:rsidR="005618E3" w:rsidRPr="005618E3" w:rsidRDefault="005618E3" w:rsidP="00BE14C8">
      <w:pPr>
        <w:pStyle w:val="Alishlah31text"/>
        <w:ind w:firstLine="0"/>
        <w:rPr>
          <w:b/>
          <w:bCs/>
        </w:rPr>
      </w:pPr>
      <w:r w:rsidRPr="005618E3">
        <w:rPr>
          <w:b/>
          <w:bCs/>
        </w:rPr>
        <w:t>Limitations</w:t>
      </w:r>
    </w:p>
    <w:p w14:paraId="3B7C4313" w14:textId="77777777" w:rsidR="005618E3" w:rsidRDefault="005618E3" w:rsidP="005618E3">
      <w:pPr>
        <w:pStyle w:val="Alishlah31text"/>
      </w:pPr>
      <w:r w:rsidRPr="005618E3">
        <w:t xml:space="preserve">Despite the rigorous methodology employed, this systematic review is subject to several limitations that should be acknowledged. First, the linguistic bias inherent in the inclusion criteria—restricting sources to English and Indonesian—may have excluded relevant studies published in other languages, particularly those from Southeast Asian nations where local languages are used in academic publications. Second, the reliance on grey literature and regional publications from Google Scholar, while necessary for comprehensiveness, introduces variability in the methodological quality of included studies, despite the use of the MMAT appraisal tool. Third, the temporal endpoint of 2024 may not capture very recent developments or policy shifts occurring in early 2025, which could influence the trajectory of BIPA training models. Fourth, the geographic scope was limited to Southeast Asia and the United States; thus, findings may not be generalizable to other regions where BIPA is taught, such as Europe or Australia. Finally, the predominance of qualitative and descriptive studies in the evidence base limits the ability to </w:t>
      </w:r>
      <w:r w:rsidRPr="005618E3">
        <w:lastRenderedPageBreak/>
        <w:t>draw causal conclusions about the effectiveness of specific training models. Future systematic reviews could benefit from broader linguistic and regional inclusion, as well as a greater emphasis on longitudinal and outcome-focused research.</w:t>
      </w:r>
    </w:p>
    <w:p w14:paraId="29260313" w14:textId="77777777" w:rsidR="005B5AEC" w:rsidRPr="00723B12" w:rsidRDefault="005B5AEC" w:rsidP="002A02C2">
      <w:pPr>
        <w:pStyle w:val="Alishlah21heading1"/>
        <w:rPr>
          <w:rFonts w:eastAsia="Arial"/>
        </w:rPr>
      </w:pPr>
      <w:r w:rsidRPr="00723B12">
        <w:rPr>
          <w:rFonts w:eastAsia="Arial"/>
        </w:rPr>
        <w:t xml:space="preserve">CONCLUSION </w:t>
      </w:r>
    </w:p>
    <w:p w14:paraId="3250BB35" w14:textId="77777777" w:rsidR="002B31FD" w:rsidRPr="005618E3" w:rsidRDefault="005618E3" w:rsidP="005618E3">
      <w:pPr>
        <w:pStyle w:val="Alishlah31text"/>
        <w:rPr>
          <w:rFonts w:eastAsia="Arial"/>
        </w:rPr>
      </w:pPr>
      <w:r w:rsidRPr="005618E3">
        <w:t>This systematic review has charted the complex trajectory of BIPA’s pedagogical development across Southeast Asia and the United States in the post-2009 era, revealing a field shaped by the dynamic interplay between macro-level policy aspiration and micro-level contextual adaptation. The synthesis demonstrates that Indonesia’s landmark language policy served as a critical catalyst, legitimizing the field and spurring activity, yet the substantive training models—ranging from CEFR-based curriculum frameworks to technology-enhanced and teacher-focused professional development—have been predominantly forged by educators and institutions responding to localized needs. The stark contrast between the regional-integration model in Southeast Asia and the niche-sustainability model in the United States underscores that there is no universal blueprint for promoting a national language abroad; success is contingent on strategic alignment with the host country’s educational ecology and resource realities. A primary limitation of this review, inherent in the evidence base, is the scarcity of longitudinal, outcome-oriented studies that measure the long-term efficacy of the identified models on learner proficiency or program sustainability. Furthermore, the dissolution of coordinating bodies like the PPSDK presents a strategic ambiguity for future centralized guidance. Consequently, future research must prioritize empirical studies that track program outcomes over time and investigate the evolving governance of BIPA’s international network. For stakeholders, the fundamental implication is that sustainable growth will depend less on mandating uniform practices and more on strategically nurturing and connecting the decentralized hubs of innovation that this review has identified, ensuring that the diplomatic goals of language promotion are firmly rooted in pedagogically sound and contextually resonant practice.</w:t>
      </w:r>
    </w:p>
    <w:p w14:paraId="5E2AA8C8" w14:textId="77777777" w:rsidR="002B31FD" w:rsidRDefault="002B31FD" w:rsidP="002B31FD">
      <w:pPr>
        <w:pStyle w:val="Alishlah21heading1"/>
        <w:numPr>
          <w:ilvl w:val="0"/>
          <w:numId w:val="0"/>
        </w:numPr>
      </w:pPr>
      <w:r>
        <w:t>REFERENCES</w:t>
      </w:r>
    </w:p>
    <w:p w14:paraId="2599FA44" w14:textId="77777777" w:rsidR="005618E3" w:rsidRDefault="002B31FD" w:rsidP="005618E3">
      <w:pPr>
        <w:pStyle w:val="Alishlah71References"/>
      </w:pPr>
      <w:r>
        <w:rPr>
          <w:rFonts w:asciiTheme="minorHAnsi" w:hAnsiTheme="minorHAnsi" w:cstheme="minorBidi"/>
          <w:noProof w:val="0"/>
          <w:sz w:val="22"/>
          <w:szCs w:val="22"/>
        </w:rPr>
        <w:fldChar w:fldCharType="begin" w:fldLock="1"/>
      </w:r>
      <w:r>
        <w:instrText xml:space="preserve">ADDIN Mendeley Bibliography CSL_BIBLIOGRAPHY </w:instrText>
      </w:r>
      <w:r>
        <w:rPr>
          <w:rFonts w:asciiTheme="minorHAnsi" w:hAnsiTheme="minorHAnsi" w:cstheme="minorBidi"/>
          <w:noProof w:val="0"/>
          <w:sz w:val="22"/>
          <w:szCs w:val="22"/>
        </w:rPr>
        <w:fldChar w:fldCharType="separate"/>
      </w:r>
      <w:r w:rsidR="005618E3">
        <w:t>Ady, R. S. P., &amp; Mardiah, Z. (2024). Foreign Language Speaking Anxiety: A Systematic Review of A Decade in South East Asia. Ethical Lingua: Journal of Language Teaching and Literature.</w:t>
      </w:r>
    </w:p>
    <w:p w14:paraId="1F22D4FA" w14:textId="77777777" w:rsidR="005618E3" w:rsidRDefault="005618E3" w:rsidP="005618E3">
      <w:pPr>
        <w:pStyle w:val="Alishlah71References"/>
      </w:pPr>
      <w:r>
        <w:t>Ardiyanti, W. N. (2024). The strengths and weaknesses of the BIPA curriculum as an Indonesian teaching guideline for foreign speakers: A review of the literature 2018-2023. Indonesian Journal of Curriculum and Educational Technology.</w:t>
      </w:r>
    </w:p>
    <w:p w14:paraId="16513F3C" w14:textId="77777777" w:rsidR="005618E3" w:rsidRDefault="005618E3" w:rsidP="005618E3">
      <w:pPr>
        <w:pStyle w:val="Alishlah71References"/>
      </w:pPr>
      <w:r>
        <w:t>Braun, V., &amp; Clarke, V. (2006). Using thematic analysis in psychology. Qualitative Research in Psychology, 3(2), 77–101.</w:t>
      </w:r>
    </w:p>
    <w:p w14:paraId="45F38E0E" w14:textId="77777777" w:rsidR="005618E3" w:rsidRDefault="005618E3" w:rsidP="005618E3">
      <w:pPr>
        <w:pStyle w:val="Alishlah71References"/>
      </w:pPr>
      <w:r>
        <w:t>Gusenbauer, M., &amp; Haddaway, N. R. (2020). Which academic search systems are suitable for systematic reviews or meta-analyses? Evaluating retrieval qualities of Google Scholar, PubMed, and 26 other resources. Research Synthesis Methods, 11(2), 181–217.</w:t>
      </w:r>
    </w:p>
    <w:p w14:paraId="2B9D7DD6" w14:textId="77777777" w:rsidR="005618E3" w:rsidRDefault="005618E3" w:rsidP="005618E3">
      <w:pPr>
        <w:pStyle w:val="Alishlah71References"/>
      </w:pPr>
      <w:r>
        <w:t>Hong, Q. N., Pluye, P., Fàbregues, S., Bartlett, G., Boardman, F., Cargo, M., Dagenais, P., Gagnon, M.-P., Griffiths, F., Nicolau, B., O’Cathain, A., Rousseau, M.-C., &amp; Vedel, I. (2018). Mixed Methods Appraisal Tool (MMAT) version 2018. Registration of Copyright.</w:t>
      </w:r>
    </w:p>
    <w:p w14:paraId="53F150E9" w14:textId="77777777" w:rsidR="005618E3" w:rsidRDefault="005618E3" w:rsidP="005618E3">
      <w:pPr>
        <w:pStyle w:val="Alishlah71References"/>
      </w:pPr>
      <w:r>
        <w:t>Isnaniah, S., &amp; Mustofa, F. (2020). MANAGEMENT OF ISLAMIC EDUCATION ON INDONESIAN LANGUAGE LEARNING FOR FOREIGN SPEAKER PROGRAM. Jurnal Pendidikan Islam, 6(2), 217–232.</w:t>
      </w:r>
    </w:p>
    <w:p w14:paraId="6BB9D023" w14:textId="77777777" w:rsidR="005618E3" w:rsidRDefault="005618E3" w:rsidP="005618E3">
      <w:pPr>
        <w:pStyle w:val="Alishlah71References"/>
      </w:pPr>
      <w:r>
        <w:t>Johnson, D. C. (2013). Language policy. Palgrave Macmillan.</w:t>
      </w:r>
    </w:p>
    <w:p w14:paraId="5272B238" w14:textId="77777777" w:rsidR="005618E3" w:rsidRDefault="005618E3" w:rsidP="005618E3">
      <w:pPr>
        <w:pStyle w:val="Alishlah71References"/>
      </w:pPr>
      <w:r>
        <w:t>Kristiawan, D., Carter, C., &amp; Picard, M. (2022). Impact of CALL Professional Development for EFL Materials on Teacher Agency and Technological Pedagogical Content Knowledge (TPACK) in Indonesian Islamic Schools. Teaching English with Technology, 22(3-4), 20–42.</w:t>
      </w:r>
    </w:p>
    <w:p w14:paraId="152BF094" w14:textId="77777777" w:rsidR="005618E3" w:rsidRDefault="005618E3" w:rsidP="005618E3">
      <w:pPr>
        <w:pStyle w:val="Alishlah71References"/>
      </w:pPr>
      <w:r>
        <w:t>Mufidah, N., &amp; Sari, A. L. (2022). The Challenges and Opportunities in Opening Indonesian Language Education Study Program at UIN Antasari Banjarmasin. Dinamika Ilmu, 22(2), 333–352.</w:t>
      </w:r>
    </w:p>
    <w:p w14:paraId="51B91643" w14:textId="77777777" w:rsidR="005618E3" w:rsidRDefault="005618E3" w:rsidP="005618E3">
      <w:pPr>
        <w:pStyle w:val="Alishlah71References"/>
      </w:pPr>
      <w:r>
        <w:lastRenderedPageBreak/>
        <w:t>Muliastuti, L., Mayuni, I., Nurhaina, A., &amp; Saddhono, K. (2023). Tailoring CEFR to BISOL (Bahasa Indonesia for Speakers of Other Languages) : A Model for Integrative Language Teaching Materials. International Journal of Language Education, 7(4), 590–601.</w:t>
      </w:r>
    </w:p>
    <w:p w14:paraId="4497E088" w14:textId="77777777" w:rsidR="005618E3" w:rsidRDefault="005618E3" w:rsidP="005618E3">
      <w:pPr>
        <w:pStyle w:val="Alishlah71References"/>
      </w:pPr>
      <w:r>
        <w:t>Page, M. J., McKenzie, J. E., Bossuyt, P. M., Boutron, I., Hoffmann, T. C., Mulrow, C. D., Shamseer, L., Tetzlaff, J. M., Akl, E. A., Brennan, S. E., Chou, R., Glanville, J., Grimshaw, J. M., Hróbjartsson, A., Lalu, M. M., Li, T., Loder, E. W., Mayo-Wilson, E., McDonald, S., … Moher, D. (2021). The PRISMA 2020 statement: An updated guideline for reporting systematic reviews. BMJ, 372, n71.</w:t>
      </w:r>
    </w:p>
    <w:p w14:paraId="118D933B" w14:textId="77777777" w:rsidR="005618E3" w:rsidRDefault="005618E3" w:rsidP="005618E3">
      <w:pPr>
        <w:pStyle w:val="Alishlah71References"/>
      </w:pPr>
      <w:r>
        <w:t>Permadi, R. Y., Nasrullah, R., &amp; Koswara, I. (2022). The constraints of cross-linguistic transfer on BIPA learning. Sosiohumaniora.</w:t>
      </w:r>
    </w:p>
    <w:p w14:paraId="7F55FF65" w14:textId="77777777" w:rsidR="005618E3" w:rsidRDefault="005618E3" w:rsidP="005618E3">
      <w:pPr>
        <w:pStyle w:val="Alishlah71References"/>
      </w:pPr>
      <w:r>
        <w:t>Pratama, P. M., Efendi, A., Rahmawati, F., et al. (2022). Tracking Javanese Cultural Heritage through Augmented Reality and its Implications in Indonesian Language for Foreign Speakers (BIPA) Learning. 3rd Asia Pacific Conference on Industrial Engineering and Operations Management.</w:t>
      </w:r>
    </w:p>
    <w:p w14:paraId="2133B20A" w14:textId="77777777" w:rsidR="005618E3" w:rsidRDefault="005618E3" w:rsidP="005618E3">
      <w:pPr>
        <w:pStyle w:val="Alishlah71References"/>
      </w:pPr>
      <w:r>
        <w:t>Rochmawati, D., Nurkamto, J., Nizam, M., et al. (2023). A systematic review of self regulated learning approach through digital learning media in enhancing students’ EFL speaking competences. English Education Journal.</w:t>
      </w:r>
    </w:p>
    <w:p w14:paraId="5741F649" w14:textId="77777777" w:rsidR="005618E3" w:rsidRDefault="005618E3" w:rsidP="005618E3">
      <w:pPr>
        <w:pStyle w:val="Alishlah71References"/>
      </w:pPr>
      <w:r>
        <w:t>Simek, L., &amp; Stewart, W. H. (2024). International student recruitment and support in Indonesia: A systematic review of literature from 2012–2022. Journal of Studies in International Education.</w:t>
      </w:r>
    </w:p>
    <w:p w14:paraId="18922165" w14:textId="77777777" w:rsidR="005618E3" w:rsidRDefault="005618E3" w:rsidP="005618E3">
      <w:pPr>
        <w:pStyle w:val="Alishlah71References"/>
      </w:pPr>
      <w:r>
        <w:t>Susanto, G., Pickus, D., Espree-Conaway, D., Suparmi, S., Rusiandi, A., &amp; Noviya, H. (2024). Indonesian language policy and perspectives on its implementation in promoting Bahasa Indonesia as an international language. Cogent Arts &amp; Humanities, 11(1), 2364511.</w:t>
      </w:r>
    </w:p>
    <w:p w14:paraId="3917CF1F" w14:textId="77777777" w:rsidR="005618E3" w:rsidRDefault="005618E3" w:rsidP="005618E3">
      <w:pPr>
        <w:pStyle w:val="Alishlah71References"/>
      </w:pPr>
      <w:r>
        <w:t>Suyitno, I., Andayani, K., Anggari, P. D., Kurniawan, T., &amp; Arista, H. D. (2021). Foreign learners’ perception, satisfaction, and learning outcome in learning indonesian language. Cakrawala Pendidikan, 40(1), 133–146.</w:t>
      </w:r>
    </w:p>
    <w:p w14:paraId="6171B146" w14:textId="77777777" w:rsidR="005618E3" w:rsidRDefault="005618E3" w:rsidP="005618E3">
      <w:pPr>
        <w:pStyle w:val="Alishlah71References"/>
      </w:pPr>
      <w:r>
        <w:t>Tamphu, S., Suyitno, I., Susanto, G., Budiana, N., et al. (2024). Building bridges to the future of learning: Exploring artificial intelligence research using R-Studio assisted bibliometrics. Cogent Education.</w:t>
      </w:r>
    </w:p>
    <w:p w14:paraId="61AAC28A" w14:textId="77777777" w:rsidR="005618E3" w:rsidRDefault="005618E3" w:rsidP="005618E3">
      <w:pPr>
        <w:pStyle w:val="Alishlah71References"/>
      </w:pPr>
      <w:r>
        <w:t>Thomas, J., &amp; Harden, A. (2008). Methods for the thematic synthesis of qualitative research in systematic reviews. BMC Medical Research Methodology, 8(1), 45.</w:t>
      </w:r>
    </w:p>
    <w:p w14:paraId="6EF6087D" w14:textId="77777777" w:rsidR="005618E3" w:rsidRDefault="005618E3" w:rsidP="005618E3">
      <w:pPr>
        <w:pStyle w:val="Alishlah71References"/>
      </w:pPr>
      <w:r>
        <w:t>Velásquez-Hoyos, A. P., &amp; Martínez-Burgos, L. A. (2023). Participants’ Narratives of the Fulbright FLTA Program on Their Intercultural and Professional Experience. HOW, 30(2), 13–31.</w:t>
      </w:r>
    </w:p>
    <w:p w14:paraId="6FB093E0" w14:textId="77777777" w:rsidR="002B31FD" w:rsidRPr="00613D51" w:rsidRDefault="005618E3" w:rsidP="005618E3">
      <w:pPr>
        <w:pStyle w:val="Alishlah71References"/>
      </w:pPr>
      <w:r>
        <w:t>Wong, K. M., &amp; Hill, H. C. (2023). Walking a Fine Line: Tensions in Bilingual Education for Asian Languages in the United States. Issues in Teacher Education, 32(2), 80–86</w:t>
      </w:r>
      <w:r w:rsidR="002B31FD" w:rsidRPr="00613D51">
        <w:t>.</w:t>
      </w:r>
    </w:p>
    <w:p w14:paraId="6425EAF0" w14:textId="77777777" w:rsidR="00143989" w:rsidRPr="00723B12" w:rsidRDefault="002B31FD" w:rsidP="002B31FD">
      <w:pPr>
        <w:pStyle w:val="Alishlah71References"/>
      </w:pPr>
      <w:r>
        <w:fldChar w:fldCharType="end"/>
      </w:r>
    </w:p>
    <w:sectPr w:rsidR="00143989" w:rsidRPr="00723B12" w:rsidSect="00CA1CC1">
      <w:headerReference w:type="default" r:id="rId20"/>
      <w:footerReference w:type="default" r:id="rId21"/>
      <w:headerReference w:type="first" r:id="rId22"/>
      <w:footerReference w:type="first" r:id="rId23"/>
      <w:pgSz w:w="11906" w:h="16838"/>
      <w:pgMar w:top="1418" w:right="1274"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ED116" w14:textId="77777777" w:rsidR="006F75F6" w:rsidRDefault="006F75F6" w:rsidP="008E64A2">
      <w:pPr>
        <w:spacing w:after="0" w:line="240" w:lineRule="auto"/>
      </w:pPr>
      <w:r>
        <w:separator/>
      </w:r>
    </w:p>
    <w:p w14:paraId="4B97EE44" w14:textId="77777777" w:rsidR="006F75F6" w:rsidRDefault="006F75F6"/>
  </w:endnote>
  <w:endnote w:type="continuationSeparator" w:id="0">
    <w:p w14:paraId="75D3BC77" w14:textId="77777777" w:rsidR="006F75F6" w:rsidRDefault="006F75F6" w:rsidP="008E64A2">
      <w:pPr>
        <w:spacing w:after="0" w:line="240" w:lineRule="auto"/>
      </w:pPr>
      <w:r>
        <w:continuationSeparator/>
      </w:r>
    </w:p>
    <w:p w14:paraId="56F21ECF" w14:textId="77777777" w:rsidR="006F75F6" w:rsidRDefault="006F75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5086E"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AC32F"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C3F5B" w14:textId="77777777" w:rsidR="006F75F6" w:rsidRDefault="006F75F6" w:rsidP="008E64A2">
      <w:pPr>
        <w:spacing w:after="0" w:line="240" w:lineRule="auto"/>
      </w:pPr>
      <w:r>
        <w:separator/>
      </w:r>
    </w:p>
    <w:p w14:paraId="6DA75CE6" w14:textId="77777777" w:rsidR="006F75F6" w:rsidRDefault="006F75F6"/>
  </w:footnote>
  <w:footnote w:type="continuationSeparator" w:id="0">
    <w:p w14:paraId="4FA51AFC" w14:textId="77777777" w:rsidR="006F75F6" w:rsidRDefault="006F75F6" w:rsidP="008E64A2">
      <w:pPr>
        <w:spacing w:after="0" w:line="240" w:lineRule="auto"/>
      </w:pPr>
      <w:r>
        <w:continuationSeparator/>
      </w:r>
    </w:p>
    <w:p w14:paraId="0C0902BA" w14:textId="77777777" w:rsidR="006F75F6" w:rsidRDefault="006F75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F5C74"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0D8F2FC1" wp14:editId="4927B596">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8195C2"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1zAEAAH0DAAAOAAAAZHJzL2Uyb0RvYy54bWysU02P0zAQvSPxHyzfaZJKLRA1XaEuy2WB&#10;Srv8gKntJBa2x7Ldpv33jN2PXeCGyMHyeOa9mXkzWd0drWEHFaJG1/FmVnOmnECp3dDxH88P7z5w&#10;FhM4CQad6vhJRX63fvtmNflWzXFEI1VgROJiO/mOjyn5tqqiGJWFOEOvHDl7DBYSmWGoZICJ2K2p&#10;5nW9rCYM0gcUKkZ6vT87+brw970S6XvfR5WY6TjVlsoZyrnLZ7VeQTsE8KMWlzLgH6qwoB0lvVHd&#10;QwK2D/ovKqtFwIh9mgm0Ffa9Fqr0QN009R/dPI3gVemFxIn+JlP8f7Ti22EbmJYdX8w5c2BpRp/2&#10;CUtq9j7rM/nYUtjGbUPuUBzdk39E8TMyh5sR3KBK8PPJE7bJiOo3SDaipyy76StKigHiL2Id+2Az&#10;JcnAjmUmp9tM1DExQY+LZbOsaxqduPoqaK9AH2L6otCyfOl4TAH0MKYNOkeTx9CUNHB4jCmXBe0V&#10;kLM6fNDGlAUwjk0d/7iYLwogotEyO3NYDMNuYwI7QF6h8pUeyfM6LODeyUI2KpCfL/cE2pzvlNy4&#10;izRZjbOuO5SnbbhKRjMuVV72MS/Ra7ugX/6a9S8AAAD//wMAUEsDBBQABgAIAAAAIQDIh8UI2wAA&#10;AAcBAAAPAAAAZHJzL2Rvd25yZXYueG1sTI/NTsMwEITvSLyDtZW4IGqnUBRCnKpC4sCxPxJXN16S&#10;0HgdxU4T+vRsxaEcZ2c0+02+mlwrTtiHxpOGZK5AIJXeNlRp2O/eH1IQIRqypvWEGn4wwKq4vclN&#10;Zv1IGzxtYyW4hEJmNNQxdpmUoazRmTD3HRJ7X753JrLsK2l7M3K5a+VCqWfpTEP8oTYdvtVYHreD&#10;04BhWCZq/eKq/cd5vP9cnL/Hbqf13Wxav4KIOMVrGC74jA4FMx38QDaIlvUTBzU8qgQE22m65CWH&#10;v4Mscvmfv/gFAAD//wMAUEsBAi0AFAAGAAgAAAAhALaDOJL+AAAA4QEAABMAAAAAAAAAAAAAAAAA&#10;AAAAAFtDb250ZW50X1R5cGVzXS54bWxQSwECLQAUAAYACAAAACEAOP0h/9YAAACUAQAACwAAAAAA&#10;AAAAAAAAAAAvAQAAX3JlbHMvLnJlbHNQSwECLQAUAAYACAAAACEAaLfn9cwBAAB9AwAADgAAAAAA&#10;AAAAAAAAAAAuAgAAZHJzL2Uyb0RvYy54bWxQSwECLQAUAAYACAAAACEAyIfFCNsAAAAHAQAADwAA&#10;AAAAAAAAAAAAAAAmBAAAZHJzL2Rvd25yZXYueG1sUEsFBgAAAAAEAAQA8wAAAC4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proofErr w:type="gram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w:t>
    </w:r>
    <w:proofErr w:type="gramEnd"/>
    <w:r>
      <w:rPr>
        <w:rFonts w:ascii="Palatino Linotype" w:hAnsi="Palatino Linotype"/>
        <w:i/>
        <w:sz w:val="16"/>
      </w:rPr>
      <w:t xml:space="preserve">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22DACB33" w14:textId="77777777" w:rsidR="00754C9E" w:rsidRDefault="00754C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5273F" w14:textId="77777777" w:rsidR="001C18FA" w:rsidRPr="0048254D" w:rsidRDefault="001C18FA"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0F1F79C6"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458F6B42"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2"/>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136E175B" wp14:editId="0182CC10">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2EB4D4"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ygEAAH0DAAAOAAAAZHJzL2Uyb0RvYy54bWysU02PEzEMvSPxH6Lc6UwrtYJRpyvUZbks&#10;sNIuP8BNMjMRmThy0k7773HSDxa4IeYQxbH9bL/nWd8dRycOhqJF38r5rJbCeIXa+r6V318e3r2X&#10;IibwGhx608qTifJu8/bNegqNWeCAThsSDOJjM4VWDimFpqqiGswIcYbBeHZ2SCMkNqmvNMHE6KOr&#10;FnW9qiYkHQiViZFf789OuSn4XWdU+tZ10SThWsm9pXJSOXf5rDZraHqCMFh1aQP+oYsRrOeiN6h7&#10;SCD2ZP+CGq0ijNilmcKxwq6zypQZeJp5/cc0zwMEU2ZhcmK40RT/H6z6engiYTVrx0p5GFmjj/uE&#10;pbRYZX6mEBsO2/onyhOqo38Oj6h+ROFxO4DvTQl+OQXOneeM6reUbMTAVXbTF9QcA4xfyDp2NGZI&#10;pkEciyanmybmmITix+Vqvqprlk5dfRU018RAMX02OIp8aWVMBLYf0ha9Z+WR5qUMHB5jym1Bc03I&#10;VT0+WOfKAjgvplZ+WC6WJSGiszo7c1ikfrd1JA6QV6h8ZUb2vA4j3HtdwAYD+tPlnsC6852LO3+h&#10;JrNx5nWH+vREV8pY49LlZR/zEr22S/avv2bzEwAA//8DAFBLAwQUAAYACAAAACEADG3DCN4AAAAI&#10;AQAADwAAAGRycy9kb3ducmV2LnhtbEyPwU7DMBBE70j8g7WVuKDWSWhRGuJUFRIHjrSVuG7jbRIa&#10;r6PYaUK/HqMe4Dg7q5k3+WYyrbhQ7xrLCuJFBIK4tLrhSsFh/zZPQTiPrLG1TAq+ycGmuL/LMdN2&#10;5A+67HwlQgi7DBXU3neZlK6syaBb2I44eCfbG/RB9pXUPY4h3LQyiaJnabDh0FBjR681lefdYBSQ&#10;G1ZxtF2b6vB+HR8/k+vX2O2VephN2xcQnib/9wy/+AEdisB0tANrJ1oF86cwxStI0hWI4KdpvARx&#10;vB1kkcv/A4ofAAAA//8DAFBLAQItABQABgAIAAAAIQC2gziS/gAAAOEBAAATAAAAAAAAAAAAAAAA&#10;AAAAAABbQ29udGVudF9UeXBlc10ueG1sUEsBAi0AFAAGAAgAAAAhADj9If/WAAAAlAEAAAsAAAAA&#10;AAAAAAAAAAAALwEAAF9yZWxzLy5yZWxzUEsBAi0AFAAGAAgAAAAhAHT6QoDKAQAAfQMAAA4AAAAA&#10;AAAAAAAAAAAALgIAAGRycy9lMm9Eb2MueG1sUEsBAi0AFAAGAAgAAAAhAAxtwwjeAAAACAEAAA8A&#10;AAAAAAAAAAAAAAAAJAQAAGRycy9kb3ducmV2LnhtbFBLBQYAAAAABAAEAPMAAAAvBQ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2F963F26"/>
    <w:multiLevelType w:val="multilevel"/>
    <w:tmpl w:val="A7701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7"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1"/>
  </w:num>
  <w:num w:numId="3">
    <w:abstractNumId w:val="6"/>
  </w:num>
  <w:num w:numId="4">
    <w:abstractNumId w:val="5"/>
  </w:num>
  <w:num w:numId="5">
    <w:abstractNumId w:val="14"/>
  </w:num>
  <w:num w:numId="6">
    <w:abstractNumId w:val="17"/>
  </w:num>
  <w:num w:numId="7">
    <w:abstractNumId w:val="1"/>
  </w:num>
  <w:num w:numId="8">
    <w:abstractNumId w:val="16"/>
  </w:num>
  <w:num w:numId="9">
    <w:abstractNumId w:val="8"/>
  </w:num>
  <w:num w:numId="10">
    <w:abstractNumId w:val="1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
  </w:num>
  <w:num w:numId="14">
    <w:abstractNumId w:val="12"/>
  </w:num>
  <w:num w:numId="15">
    <w:abstractNumId w:val="13"/>
  </w:num>
  <w:num w:numId="16">
    <w:abstractNumId w:val="0"/>
  </w:num>
  <w:num w:numId="17">
    <w:abstractNumId w:val="4"/>
  </w:num>
  <w:num w:numId="18">
    <w:abstractNumId w:val="7"/>
  </w:num>
  <w:num w:numId="19">
    <w:abstractNumId w:val="10"/>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6909F1"/>
    <w:rsid w:val="000061CE"/>
    <w:rsid w:val="00031DD5"/>
    <w:rsid w:val="000333AC"/>
    <w:rsid w:val="000355EA"/>
    <w:rsid w:val="00035C67"/>
    <w:rsid w:val="00056E9C"/>
    <w:rsid w:val="000735BB"/>
    <w:rsid w:val="00075197"/>
    <w:rsid w:val="000831BD"/>
    <w:rsid w:val="000A13A3"/>
    <w:rsid w:val="000A36F0"/>
    <w:rsid w:val="000B3743"/>
    <w:rsid w:val="000D5EE8"/>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E2443"/>
    <w:rsid w:val="001E42C1"/>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18E3"/>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5F5BBA"/>
    <w:rsid w:val="0061136D"/>
    <w:rsid w:val="00617741"/>
    <w:rsid w:val="00626D7A"/>
    <w:rsid w:val="00627C2D"/>
    <w:rsid w:val="00630559"/>
    <w:rsid w:val="006405DC"/>
    <w:rsid w:val="00642A67"/>
    <w:rsid w:val="00655540"/>
    <w:rsid w:val="006659EC"/>
    <w:rsid w:val="00674F13"/>
    <w:rsid w:val="00675603"/>
    <w:rsid w:val="006802BF"/>
    <w:rsid w:val="00684266"/>
    <w:rsid w:val="00686344"/>
    <w:rsid w:val="006875E7"/>
    <w:rsid w:val="006909F1"/>
    <w:rsid w:val="00690C1D"/>
    <w:rsid w:val="0069239F"/>
    <w:rsid w:val="006A6719"/>
    <w:rsid w:val="006B3B48"/>
    <w:rsid w:val="006B5DB7"/>
    <w:rsid w:val="006C79FB"/>
    <w:rsid w:val="006D0B77"/>
    <w:rsid w:val="006E711A"/>
    <w:rsid w:val="006F160B"/>
    <w:rsid w:val="006F75F6"/>
    <w:rsid w:val="00701A0F"/>
    <w:rsid w:val="0071335B"/>
    <w:rsid w:val="00716FCB"/>
    <w:rsid w:val="00717FE7"/>
    <w:rsid w:val="00721B39"/>
    <w:rsid w:val="00723972"/>
    <w:rsid w:val="00723C20"/>
    <w:rsid w:val="00727D5A"/>
    <w:rsid w:val="0073613A"/>
    <w:rsid w:val="0074579B"/>
    <w:rsid w:val="00750180"/>
    <w:rsid w:val="00751F6C"/>
    <w:rsid w:val="007549C7"/>
    <w:rsid w:val="00754C9E"/>
    <w:rsid w:val="00763D48"/>
    <w:rsid w:val="007706D1"/>
    <w:rsid w:val="00776DFE"/>
    <w:rsid w:val="00784B9B"/>
    <w:rsid w:val="00787398"/>
    <w:rsid w:val="007A2C38"/>
    <w:rsid w:val="007B2B7A"/>
    <w:rsid w:val="007B716C"/>
    <w:rsid w:val="007E0F04"/>
    <w:rsid w:val="007E5CEF"/>
    <w:rsid w:val="007E6AA6"/>
    <w:rsid w:val="007E6E1C"/>
    <w:rsid w:val="007F0542"/>
    <w:rsid w:val="007F2733"/>
    <w:rsid w:val="00802C6D"/>
    <w:rsid w:val="008036D9"/>
    <w:rsid w:val="008477FA"/>
    <w:rsid w:val="00863036"/>
    <w:rsid w:val="00873823"/>
    <w:rsid w:val="00874DBD"/>
    <w:rsid w:val="00877768"/>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D0A28"/>
    <w:rsid w:val="00BD0ABC"/>
    <w:rsid w:val="00BE14C8"/>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406B"/>
    <w:rsid w:val="00C94847"/>
    <w:rsid w:val="00C963A8"/>
    <w:rsid w:val="00CA1CC1"/>
    <w:rsid w:val="00CA3B3C"/>
    <w:rsid w:val="00CC0C2B"/>
    <w:rsid w:val="00CC3DB2"/>
    <w:rsid w:val="00CC7DCF"/>
    <w:rsid w:val="00CC7F21"/>
    <w:rsid w:val="00CD3AE9"/>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 w:val="00FF762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983BD"/>
  <w15:chartTrackingRefBased/>
  <w15:docId w15:val="{A09C16DD-98C1-43DF-835F-F8589CAAD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3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customStyle="1" w:styleId="ds-markdown-paragraph">
    <w:name w:val="ds-markdown-paragraph"/>
    <w:basedOn w:val="Normal"/>
    <w:rsid w:val="0087776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mharun@fip.unp.ac.id" TargetMode="External"/><Relationship Id="rId13" Type="http://schemas.openxmlformats.org/officeDocument/2006/relationships/hyperlink" Target="mailto:fatah@smkn6malang.sch.id"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bungafebrimora@stkipydb.ac.id"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reativecommons.org/licenses/by-nc-sa/4.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emesak05@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firman.anggi.r@gmail.com" TargetMode="External"/><Relationship Id="rId23" Type="http://schemas.openxmlformats.org/officeDocument/2006/relationships/footer" Target="footer2.xml"/><Relationship Id="rId10" Type="http://schemas.openxmlformats.org/officeDocument/2006/relationships/hyperlink" Target="mailto:rizki_putri@polinema.ac.id"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firman.anggi.r@gmail.com" TargetMode="External"/><Relationship Id="rId14" Type="http://schemas.openxmlformats.org/officeDocument/2006/relationships/hyperlink" Target="mailto:ramadani@stibada.ac.id" TargetMode="External"/><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9B497-637C-497C-B77F-30844162C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81</TotalTime>
  <Pages>14</Pages>
  <Words>7278</Words>
  <Characters>41490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2022-03-12T14:54:00Z</cp:lastPrinted>
  <dcterms:created xsi:type="dcterms:W3CDTF">2025-12-11T01:42:00Z</dcterms:created>
  <dcterms:modified xsi:type="dcterms:W3CDTF">2025-12-16T01:54:00Z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